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ZA14.023360 vom 16. Februar 2017</w:t>
      </w:r>
    </w:p>
    <w:p>
      <w:r>
        <w:t>VD Tribunal cantonal, 2017-02-16, FR</w:t>
      </w:r>
    </w:p>
    <w:p>
      <w:r>
        <w:rPr>
          <w:b/>
        </w:rPr>
        <w:t xml:space="preserve">Quelle: </w:t>
      </w:r>
      <w:r>
        <w:t>https://mcp.opencaselaw.ch/entscheid/vd_gerichte_ZA14.023360</w:t>
      </w:r>
    </w:p>
    <w:p>
      <w:r>
        <w:t>FR: VD_GERICHTE ZA14.023360 du 16 février 2017</w:t>
      </w:r>
    </w:p>
    <w:p>
      <w:r>
        <w:t>IT: VD_GERICHTE ZA14.023360 del 16 febbraio 2017</w:t>
      </w:r>
    </w:p>
    <w:p>
      <w:pPr>
        <w:pStyle w:val="Heading2"/>
      </w:pPr>
      <w:r>
        <w:t>Erwägungen</w:t>
      </w:r>
    </w:p>
    <w:p>
      <w:r>
        <w:rPr>
          <w:b/>
        </w:rPr>
        <w:t>E. 8</w:t>
      </w:r>
    </w:p>
    <w:p>
      <w:r>
        <w:t>Faute d’accident au sens de l’art. 4 LPGA (cf. consid. 6 supra) ou de lésion assimilée à une accident au sens de l’art. 9 al. 2 OLAA (cf. consid. 7 supra), l’intimée était donc justifiée à dénier toute responsabilité en lien avec l’événement du 26 avril 2011 à 13h40.</w:t>
      </w:r>
    </w:p>
    <w:p>
      <w:r>
        <w:rPr>
          <w:b/>
        </w:rPr>
        <w:t>E. 9</w:t>
      </w:r>
    </w:p>
    <w:p>
      <w:r>
        <w:t>a) Il s’ensuit que le recours, mal fondé, doit être rejeté, et la décision attaquée confirmée. b) La procédure étant gratuite (cf. art. 61 let. a LPGA), il n’y a pas lieu de percevoir de frais judiciaires. La recourante, qui n’obtient pas gain de cause, n’a pas droit à des dépens, pas plus que l’intimée en sa qualité d’assureur social (cf. art. 61 let. g LPGA ; cf. ATF 127 V 205). c) Lorsqu’une partie au bénéfice de l’assistance judiciaire succombe, comme c’est le cas en l’occurrence,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du 7 décembre 2010 sur l’assistance judiciaire en matière civile ; RSV 211.02.3]). En l’espèce, Me Jaques a produit une liste de ses opérations le</w:t>
      </w:r>
    </w:p>
    <w:p>
      <w:r>
        <w:rPr>
          <w:b/>
        </w:rPr>
        <w:t>E. 13</w:t>
      </w:r>
    </w:p>
    <w:p>
      <w:r>
        <w:t>février 2017, laquelle a été contrôlée au regard de la procédure et</w:t>
      </w:r>
    </w:p>
    <w:p>
      <w:r>
        <w:t>- 24 - rentre globalement dans le cadre du bon accomplissement du mandat. Compte tenu des heures de prestations d’avocat et débours s’inscrivant raisonnablement dans l’exécution de sa tâche (cf. ATF 122 I 1), le montant total de l’indemnité de Me Jaques s’élève donc à 3'241 fr. 10 (TVA à 8% comprise). La rémunération du conseil d’office est provisoirement supportée par le canton, la recourante étant rendu attentive au fait qu’elle est tenue de rembourser le montant dès qu’elle est en mesure de le faire (cf. art. 123 al. 1 CPC par renvoi de l’art. 18 al. 5 LPA-VD). Il incombe au Service juridique et législatif de fixer les modalités de remboursement (cf. art. 5 RAJ), en tenant compte des montants éventuellement payés à titre de franchise ou d’acomptes depuis le début de la procédure. Par ces motifs, le juge unique p r o n o n c e : I. Le recours déposé le 6 juin 2014 par Z.________ est rejeté. II. La décision sur opposition rendue le 6 mai 2014 par la S.________ [...] est confirmée. III. Il n’est pas perçu de frais judiciaires, ni alloué de dépens. IV. L’indemnité d’office de Me Isabelle Jaques, conseil de la recourante, est arrêtée à 3'241 fr. 10 (trois mille deux cent quarante et un francs et dix centimes), TVA comprise. V. Le bénéficiaire de l’assistance judiciaire est, dans la mesure de l’art. 123 CPC applicable par renvoi de l’art. 18 al. 5 LPA-VD, tenu au remboursement de l’indemnité du conseil d’office mise provisoirement à la charge de l’Etat. La juge unique : La greffière :</w:t>
      </w:r>
    </w:p>
    <w:p>
      <w:r>
        <w:t>- 25 - Du L'arrêt qui précède est notifié à : - Me Isabelle Jaques (pour Z.________), - Me Philippe A. Grumbach (pour la S.________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