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ZA14.017639 vom 25. August 2015</w:t>
      </w:r>
    </w:p>
    <w:p>
      <w:r>
        <w:t>VD Tribunal cantonal, 2015-08-25, FR</w:t>
      </w:r>
    </w:p>
    <w:p>
      <w:r>
        <w:rPr>
          <w:b/>
        </w:rPr>
        <w:t xml:space="preserve">Quelle: </w:t>
      </w:r>
      <w:r>
        <w:t>https://mcp.opencaselaw.ch/entscheid/vd_gerichte_ZA14.017639</w:t>
      </w:r>
    </w:p>
    <w:p>
      <w:r>
        <w:t>FR: VD_GERICHTE ZA14.017639 du 25 août 2015</w:t>
      </w:r>
    </w:p>
    <w:p>
      <w:r>
        <w:t>IT: VD_GERICHTE ZA14.017639 del 25 agosto 2015</w:t>
      </w:r>
    </w:p>
    <w:p>
      <w:pPr>
        <w:pStyle w:val="Heading2"/>
      </w:pPr>
      <w:r>
        <w:t>Erwägungen</w:t>
      </w:r>
    </w:p>
    <w:p>
      <w:r>
        <w:rPr>
          <w:b/>
        </w:rPr>
        <w:t>E. 1</w:t>
      </w:r>
    </w:p>
    <w:p>
      <w:r>
        <w:t>a) Les dispositions de la LPGA (loi fédérale du 6 octobre 2000 sur la partie générale du droit des assurances sociales ; RS 830.1) s'appliquent à la LAA (loi fédérale du 20 mars 1981 sur l'assurance- accidents ; RS 832.20) (art. 1 al. 1 LAA). Les décisions sur opposition sont sujettes à recours auprès du tribunal des assurances compétent (cf. art. 56 al. 1, 57, 58 LPGA). Le recours doit être déposé dans les trente jours suivant la notification de la décision sujette à recours (art. 60 al. 1 LPGA). La LPA-VD (loi cantonale vaudoise du 28 octobre 2008 sur la procédure administrative ; RSV 173.36) s'applique aux recours dans le domaine des assurances sociales (art. 2 al. 1 let. c LPA-VD) et prévoit la compétence de la Cour des assurances sociales du Tribunal cantonal pour statuer (art. 93 al. 1 let. a LPA-VD). b) En l'espèce, interjeté en temps utile devant le tribunal compétent et respectant les autres conditions formelles prévues par la loi (cf. art. 61 let. b LPGA notamment), le recours est recevable à la forme, de sorte qu'il y a lieu d'entrer en matière sur le fond.</w:t>
      </w:r>
    </w:p>
    <w:p>
      <w:r>
        <w:rPr>
          <w:b/>
        </w:rPr>
        <w:t>E. 2</w:t>
      </w:r>
    </w:p>
    <w:p>
      <w:r>
        <w:t>En l’espèce, le litige porte sur le point de savoir si la recourante a le droit à des prestations de l’assurance-accidents pour les suites de l’évènement du 10 mai 2012. Singulièrement, il s’agit de déterminer si cet évènement constitue un accident.</w:t>
      </w:r>
    </w:p>
    <w:p>
      <w:r>
        <w:rPr>
          <w:b/>
        </w:rPr>
        <w:t>E. 3</w:t>
      </w:r>
    </w:p>
    <w:p>
      <w:r>
        <w:t>a) En vertu de l'art. 6 al. 1 LAA, les prestations de l'assurance- accidents sont allouées en cas d'accident professionnel, d'accident non professionnel et de maladie professionnelle. b) Sont réputés accidents professionnels les accidents (art. 4 LPGA) dont est victime l’assuré notamment lorsqu’il exécute des travaux sur ordre de son employeur ou dans son intérêt (let. a). L'art. 4 LPGA</w:t>
      </w:r>
    </w:p>
    <w:p>
      <w:r>
        <w:t>- 13 - définit l'accident comme toute atteinte dommageable, soudaine et involontaire, portée au corps humain par une cause extérieure extraordinaire qui compromet la santé physique, mentale ou psychique ou qui entraîne la mort. La notion d'accident se décompose ainsi en cinq éléments qui doivent être cumulativement réalisés. Il suffit que l'un d'entre eux fasse défaut pour que l'événement ne puisse pas être qualifié d'accident et que, cas échéant, l'atteinte dommageable doive alors être qualifiée de maladie (ATF 129 V 402 consid. 2.1 ; cf. JEAN MAURICE FRÉSARD/MARGRIT MOSER-SZELESS, l'assurance-accidents obligatoire, in : U. Meyer (édit.), Schweizerisches Bundesverwaltungsrecht, Soziale Sicherheit [SBVR], 2. Auflage, Bâle 2007, n° 57, p. 857). c) La notion d’accident suppose ainsi et notamment l’existence d’un facteur extérieur de caractère extraordinaire.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les mouvements du corps, l’existence d’un facteur extérieur est en principe admise en cas de « mouvement non coordonné » ou « non programmé », à savoir lorsque le déroulement habituel et normal d’un mouvement corporel est interrompu par un empêchement non programmé, lié à l’environnement extérieur, tel le fait de glisser, de s’encoubler, de se heurter à un objet ou d’éviter une chute, ou encore lorsqu’un assuré exécute ou tente d’exécuter un mouvement réflexe pour éviter une chute (TFA U 322/02 du 7 octobre 2003) ; le facteur extérieur, à savoir la modification entre le corps et l’environnement extérieur, constitue alors en même temps le facteur extraordinaire en raison du déroulement non programmé du mouvement (ATF 130 V 117 consid. 2.1 ;</w:t>
      </w:r>
    </w:p>
    <w:p>
      <w:r>
        <w:t>- 14 - voir également TFA U 220/05 du 22 mai 2006 consid. 3.3 ; JEAN MAURICE FRÉSARD/MARGRIT MOSER-SZELESS, l'assurance-accidents obligatoire, op. cit., n° 74, p. 861). Le mouvement ne doit pas faire partie des gestes de la vie courante, correspondant à une utilisation normale de l’organisme, mais doit être de nature à générer un risque accru de lésion (TF 8C_995/2010 du 2 novembre 2011 consid. 4.2.2). Le mouvement non programmé et non maîtrisé doit de plus avoir présenté une certaine intensité (TF 8C_36/2013 du 14 janvier 2014 consid. 5). d) Aux termes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muscles et de tendons figurent dans la liste exhaustive de l'art. 9 al. 2 OLAA, aux lettres d et f. La notion de lésion assimilée à un accident a pour but d'éviter, au profit de l'assuré, la distinction souvent difficile entre maladie et accident. Aussi, les assureurs-accidents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 ATF 116 V 145 consid. 2c ; ATF 114 V 298 consid. 3c ; ATF 139 V 237 consid. 3.1).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En particulier, à défaut de l’existence d’une cause extérieure – soit d’un</w:t>
      </w:r>
    </w:p>
    <w:p>
      <w:r>
        <w:t>- 15 -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 U 45/07 du 2 mai 2007 consid. 3.1). L'existence d'une lésion corporelle assimilée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U 45/07 du 2 mai 2007 consid. 3.1).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w:t>
      </w:r>
    </w:p>
    <w:p>
      <w:r>
        <w:t>- 16 - déchirure du ménisque ne permet pas, à lui seul, d'admettre la soudaineté de l'atteinte, dans la mesure où la charge quotidienne supportée par l'articulation du genou et les microtraumatismes qui en résultent peuvent conduire à la formation d'une déchirure (ATFA U 198/00 du 30 août 2001, consid. 2b ; arrêt non publié B. du 28 novembre 1996 [U 63/96] ; TF U 45/07 du 2 mai 2007 consid. 3.1). e) L'autorité administrative ou le juge ne doivent considérer un fait comme prouvé que lorsqu'ils sont convaincus de sa réalité (KUMMER, Grundriss des Zivilprozessrechts, 4e éd., Berne 1984, p. 136 ; GYGI, Bundesverwaltungsrechtspflege, 2e éd., p. 278 ch. 5 ; cf. TFA U 142/04 du 23 septembre 2005 consid. 3.1).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w:t>
      </w:r>
    </w:p>
    <w:p>
      <w:r>
        <w:rPr>
          <w:b/>
        </w:rPr>
        <w:t>E. 3.2</w:t>
      </w:r>
    </w:p>
    <w:p>
      <w:r>
        <w:t>et 3.3). Aussi n'existe-t-il pas, en droit des assurances sociales, un principe selon lequel l'administration ou le juge devrait statuer, dans le doute, en faveur de l'assuré (ATF 126 V 322 consid. 5a). S’agissant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 VSI</w:t>
      </w:r>
    </w:p>
    <w:p>
      <w:r>
        <w:t>- 17 - 2000 p. 201 consid. 2d ; JEAN MAURICE FRÉSARD/MARGRIT MOSER-SZELESS, l'assurance-accidents obligatoire, op. cit. ch. 195 ; voir également TF U 45/07 du 2 mai 2007 consid. 3.3 ; TFA U 142/04 du 23 septembre 2005 consid. 3.1). f) Selon la jurisprudence,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(ATF 130 V 380 consid. 2 ; TF 8C_579/2014 du 28 novembre 2014 consid. 3).</w:t>
      </w:r>
    </w:p>
    <w:p>
      <w:r>
        <w:rPr>
          <w:b/>
        </w:rPr>
        <w:t>E. 4</w:t>
      </w:r>
    </w:p>
    <w:p>
      <w:r>
        <w:t>a) En l’occurrence, les différentes explications de l’assurée au sujet de l’évènement du 10 mai 2012 ne sont pas constantes. Elle a d’abord écrit, dans son courrier du 4 juillet 2012 à J.________, qu’elle descendait rapidement les escaliers sur son lieu de travail et qu’ « en arrivant sur le palier elle avait soudain perçu un claquement sonore et une très vive douleur sur l’arrière du mollet gauche ». Elle ne pouvait « plus poser le pied à terre » de sorte qu’elle s’était rendue aux urgences immédiatement. Elle a précisé que pour expliquer cette lésion elle avait « apparemment posé [son] pied de travers sur la dernière marche d’escaliers ». Elle a également dit qu’elle avait consulté le Dr B.D.________ quelques jours auparavant pour une douleur au mollet gauche qui avait été attribuée à la fatigue liée à son activité, laquelle impliquait la position debout toute la journée et de nombreux déplacements. Dans son acte de recours, la recourante a expliqué qu’elle avait eu un accident en descendant rapidement les escaliers sur son lieu de travail, précisant qu’elle avait posé son pied de travers sur la dernière marche de l’escalier et que pour ne pas chuter, elle s’était rattrappée à la main courante et avait effectué un mouvement brusque pour éviter de tomber, ressentant alors un claquement sonore et une vive douleur à l’arrière du mollet.</w:t>
      </w:r>
    </w:p>
    <w:p>
      <w:r>
        <w:t>- 18 - Vu la jurisprudence rappelée ci-dessus (cf. supra consid. 3e), il convient de s’en tenir à ses premières déclarations, soit celles du 4 juillet 2012. On relèvera que cette version des faits est corroborrée par le courriel du 20 juin 2012 de l’assistante en ressources humaines de l’employeur à l’intimée qui explique que l’assurée lui avait dit qu’il n’y avait pas eu de chute ou de coup. b) Ainsi, vu le déroulement des faits tel qu’il découle de ce qui précède, on ne saurait admettre l’existence d’un facteur extérieur de caractère extraordinaire au sens de l’art. 4 LAA. En effet, la recourante s’est blessée simplement en arrivant sur la dernière marche des escaliers, alors qu’elle les descendait rapidement, sans qu’il y ait eu de chute, glissade ou sans qu’elle se soit heurtée à un objet. On ne peut tenir pour établi qu’elle a posé son pied de travers en arrivant sur la dernière marche, ses explications à ce sujet dans le courrier du 4 juillet 2012 n’étant que des suppositions. Quant au fait qu’elle aurait effectué un mouvement brusque pour éviter de chuter, cela ne ressort pas non plus de ses premières déclarations. En outre, le fait de descendre rapidement les escaliers doit encore être considéré comme faisant partie des gestes de la vie courante et ne génère en principe pas de risque de lésion accru. Enfin, en l’absence d’un évènement générant un tel risque accru de lésion et partant de facteur extérieur, il n’y a pas lieu non plus de mettre à la charge de l’assureur-accidents les suites de l’évènement du 10 mai 2012 sous l’angle de l’art. 9 al. 2 OLAA, ceci quand bien même les lésions constatées par IRM ne sont pas manifestement imputables à une maladie ou des phénomènes dégénératifs, selon les précisions apportées par le Dr B.D.________ dans le rapport du 17 avril 2015. c) Les faits déterminants pour l’issue du litige – en particulier l’absence d’un facteur extérieur extraordinaire à l’origine des atteintes musculaires et tendineuses du mollet gauche de la recourante - ayant pu être établis au degré de la vraisemblance prépondérante (cf. 135 V 39 consid. 6.1 et les références ; TF 8C_628/2007 du 22 octobre 2008 consid. 2) et sur la base d’une appréciation anticipée des preuves (cf. ATF 130 II</w:t>
      </w:r>
    </w:p>
    <w:p>
      <w:r>
        <w:t>- 19 - 425 consid. 2.1), il n’y a pas lieu de procéder à un complément d’instruction, que ce soit en entendant le Dr B.D.________ ou en mettant en œuvre une expertise. Enfin, on précisera que vu l’ATF 130 V 380, J.________ pouvait mettre fin aux prestations avec effet ex nunc et pro futuro, sans se fonder sur un motif de reconsidération ou de révision procédurale.</w:t>
      </w:r>
    </w:p>
    <w:p>
      <w:r>
        <w:rPr>
          <w:b/>
        </w:rPr>
        <w:t>E. 5</w:t>
      </w:r>
    </w:p>
    <w:p>
      <w:r>
        <w:t>En définitive, le recours est mal fondé et doit être rejeté, ce qui entraîne la confirmation de la décision sur opposition du 13 mars 2014. a) La recourante ne peut prétendre de dépens (art. 61 let. g LPGA et 55 LPA-VD). Par ailleurs, la procédure étant gratuite (art. 61 let. a LPGA), des frais judiciaires ne sont pas perçus.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Muster a produit une liste de ses opérations le 15 avril 2015, laquelle a été contrôlée au regard de la procédure et rentre dans le cadre du bon accomplissement du mandat (cf. art. 2 al. 1 RAJ [règlement vaudois du 7 décembre 2010 sur l’assistance judiciaire en matière civile] ; RSV 211.02.3) ; elle doit ainsi être arrêtée à 12.65 heures de travail, dont 6.90 heures ont été effectuées par Me Muster et 5.75 heures par une avocate-stagiaire, soit un montant d'honoraires s'élevant à 1'874 fr. 50 (1'242 fr. [6.90 x 180 fr.] + 632 fr 50. [5.75 x 110 fr.]), plus TVA à 8% d’un montant de 150 fr. Au demeurant, l'avocat d'office a le</w:t>
      </w:r>
    </w:p>
    <w:p>
      <w:r>
        <w:t>- 20 - droit au remboursement de tous les débours qui s'inscrivent raisonnablement dans l'exécution de sa tâche (ATF 122 I 1). En l’occurrence, le montant de 25 fr., TVA à 8% en sus, soit 27 fr. demandé par Me Muster, doit être reconnu à ce titre. Le montant total de l'indemnité de Me Muster s'élève donc à 2'051 fr. 50 arrondis à 2'052 francs. La rémunération du conseil d'office est provisoirement supportée par le canton, la recourante étant rendue attentive au fait qu'elle est tenue de rembourser le montant dès qu'elle est en mesure de le faire (art. 123 al. 1 CPC par renvoi de l'art. 18 al. 5 LPA-VD). Il incombe au Service juridique et législatif de fixer les modalités de ce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