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ZA13.027965 vom 13. Januar 2016</w:t>
      </w:r>
    </w:p>
    <w:p>
      <w:r>
        <w:t>VD Tribunal cantonal, 2016-01-13, FR</w:t>
      </w:r>
    </w:p>
    <w:p>
      <w:r>
        <w:rPr>
          <w:b/>
        </w:rPr>
        <w:t xml:space="preserve">Quelle: </w:t>
      </w:r>
      <w:r>
        <w:t>https://mcp.opencaselaw.ch/entscheid/vd_gerichte_ZA13.027965</w:t>
      </w:r>
    </w:p>
    <w:p>
      <w:r>
        <w:t>FR: VD_GERICHTE ZA13.027965 du 13 janvier 2016</w:t>
      </w:r>
    </w:p>
    <w:p>
      <w:r>
        <w:t>IT: VD_GERICHTE ZA13.027965 del 13 gennaio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dossier est complet, permettant ainsi à la Cour de statuer en pleine connaissance de cause. Un complément d’instruction apparaît inutile et la requête d’expertise du recourant doit dès lors être rejetée. Il n va de même s’agissant de la requête de l’intimée tendant à la production de l’entier du dossier du Dr F.________. Le juge peut en effet mettre fin à l’instruction lorsque les preuves administrées lui ont permis de se forger une conviction et que, procédant d’une manière non arbitraire à une appréciation anticipée des preuves qui lui sont encore proposées, il a la certitude qu’elles ne pourraient pas l’amener à modifier son avis (ATF 134 I 140 consid. 5.3 ; 131 I 153 consid. 3 et 130 Il 425 consid. 2 ; TF 9C_748/2013 du 10 février 2014 consid. 4.2.1).</w:t>
      </w:r>
    </w:p>
    <w:p>
      <w:r>
        <w:rPr>
          <w:b/>
        </w:rPr>
        <w:t>E. 10</w:t>
      </w:r>
    </w:p>
    <w:p>
      <w:r>
        <w:t>Il résulte de ce qui précède que le recours, mal fondé, doit être rejeté et la décision entreprise confirmée.</w:t>
      </w:r>
    </w:p>
    <w:p>
      <w:r>
        <w:t>- 27 - Le présent arrêt est rendu sans frais (cf. art. 61 let. a LPGA ; 45 LPA-VD), ni allocation de dépens dès lors que le recourant, assisté d’un mandataire professionnel pour la défense de ses intérêts, n’obtient pas gain de cause (cf. art. 61 let. g LPGA ; 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