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ZA13.021743 vom 17. September 2014</w:t>
      </w:r>
    </w:p>
    <w:p>
      <w:r>
        <w:t>VD Tribunal cantonal, 2014-09-17, FR</w:t>
      </w:r>
    </w:p>
    <w:p>
      <w:r>
        <w:rPr>
          <w:b/>
        </w:rPr>
        <w:t xml:space="preserve">Quelle: </w:t>
      </w:r>
      <w:r>
        <w:t>https://mcp.opencaselaw.ch/entscheid/vd_gerichte_ZA13.021743</w:t>
      </w:r>
    </w:p>
    <w:p>
      <w:r>
        <w:t>FR: VD_GERICHTE ZA13.021743 du 17 septembre 2014</w:t>
      </w:r>
    </w:p>
    <w:p>
      <w:r>
        <w:t>IT: VD_GERICHTE ZA13.021743 del 17 settembre 2014</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En l’absence de conclusions chiffrées, le présent litige doit être tranché par le tribunal dans une composition ordinaire de trois juges (art. 83c al. 1 LOJV [loi vaudoise d’organisation judiciaire du 12 décembre 1979 ; RSV 173.01] et 94 al. 1 let. a et al. 4 LPA-VD).</w:t>
      </w:r>
    </w:p>
    <w:p>
      <w:r>
        <w:rPr>
          <w:b/>
        </w:rPr>
        <w:t>E. 2</w:t>
      </w:r>
    </w:p>
    <w:p>
      <w:r>
        <w:t>Le litige porte sur le taux de l’indemnité pour atteinte à l’intégrité allouée au recourant.</w:t>
      </w:r>
    </w:p>
    <w:p>
      <w:r>
        <w:t>- 9 -</w:t>
      </w:r>
    </w:p>
    <w:p>
      <w:r>
        <w:rPr>
          <w:b/>
        </w:rPr>
        <w:t>E. 3</w:t>
      </w:r>
    </w:p>
    <w:p>
      <w:r>
        <w:t>a) Selon l’art. 6 al. 1 LAA, si la loi n'en dispose pas autrement,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Le versement de prestations exige que soit réalisée la condition de l'existence d'un lien de causalité naturelle et adéquate entre l'évènement dommageable de caractère accidentel et l'atteinte à la santé (ATF 129 V 177 consid. 3.1. et 3.2). Les prestations de l’assurance- accidents obligatoire comprennent notamment les prestations en espèce versées à titre d’indemnité pour atteinte à l’intégrité (art. 24 et 25 LAA). b) Selon l'art. 24 al. 1 LAA, l'assuré qui souffre d'une atteinte importante et durable à son intégrité physique, mentale ou psychique par suite d'un accident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L'atteinte à l'intégrité au sens de l’art. 24 al. 1 LAA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et les références).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Ainsi, ils doivent, d’une part, constater</w:t>
      </w:r>
    </w:p>
    <w:p>
      <w:r>
        <w:t>- 10 - objectivement quelles limitations subit l’assuré et, d’autre part, estimer l’atteinte à l’intégrité en résultant (cf. TF 8C_703/2008 du 25 septembre 2009 consid. 5.2 et les références). b)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Celle-ci s'apprécie, on vient de le voir, d'après les constatations médicales. C'est dire que chez tous les assurés présentant un status médical identique, l'atteinte à l'intégrité est la même ; elle est évaluée de manière abstraite, égale pour tous, de sorte qu'il n'est pas nécessaire de tenir compte des inconvénients spécifiques qu'elle entraîne pour l'assuré concerné (cf. ATF 115 V 147 consid. 1 ; 113 V 218 consid. 4b et les références ; TF 8C_703/2008 du 25 septembre 2009 consid. 5.1). La fixation de l’indemnité pour atteinte à l’intégrité dépend en effet uniquement de facteurs médicaux objectifs valables pour tous les assurés, sans égard à des considérations d’ordre subjectif ou personnel (handicap dans les loisirs, âge, manière dont les douleurs sont ressenties, etc.).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à l'OLAA. c) L'annexe 3 à l'OLAA comporte un barème des atteintes à l'intégrité en pour cent du montant maximum du gain assuré. Ce barème – reconnu conforme à la loi – ne constitue pas une énumération exhaustive (cf. ATF 124 V 29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w:t>
      </w:r>
    </w:p>
    <w:p>
      <w:r>
        <w:t>- 11 -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à l’OLAA (cf. ATF 124 V 209 consid. 4a/cc ; TF 8C_459/2008 du 4 février 2009 consid. 2.1 et les références). La table 6 concerne l’indemnisation des atteintes à l’intégrité en cas d’instabilité articulaire. Une instabilité modérée d’un ou deux ligaments croisés du genou entraîne une atteinte à l’intégrité située entre 0 et 5%. La table 7 traite de l’indemnisation des atteintes à l’intégrité dans les affections de la colonne vertébrale. Elle prévoit l’évaluation de l’atteinte à l’intégrité en fonction, d’une part, de l’appréciation des douleurs fonctionnelles et, d’autre part, du degré de déformation en cas de fractures cervicales, dorsales ou lombaires, y compris spondylodèse, cyphose ou scoliose. L’appréciation des douleurs fonctionnelles s’échelonne en quatre degrés, de la manière suivante : - « 0 » = pas de douleurs notables, limitation fonctionnelle minime et rare, survenant surtout aux efforts importants. - « + » = douleurs modérées après mobilisation, rares ou nulles au repos, disparaissant complètement et rapidement (1 à 2 jours). - « ++ » = douleurs minimes permanentes, même au repos, accentuées par les efforts. - « +++ »= douleurs permanentes plus ou moins intenses, également la nuit et au repos ; charge supplémentaire impossible. Ces douleurs ne diminuent que lentement, après aggravation. d) En cas de concours de plusieurs atteintes à l'intégrité physique, mentale ou psychique, dues à un ou plusieurs accidents, l'indemnité pour atteinte à l'intégrité est fixée d'après l'ensemble du dommage ; l'indemnité totale ne peut dépasser le montant maximum du gain annuel assuré ; il est tenu compte, dans le taux d'indemnisation, des indemnités déjà reçues en vertu de la loi (art. 36 al. 3 OLAA). Quant à l’al.</w:t>
      </w:r>
    </w:p>
    <w:p>
      <w:r>
        <w:rPr>
          <w:b/>
        </w:rPr>
        <w:t>E. 4</w:t>
      </w:r>
    </w:p>
    <w:p>
      <w:r>
        <w:t>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ss consid. 3 ; TF 9C_1023/2008 du 30 juin 2009 consid. 2.1.1 et la référence). On rappellera que d'après la jurisprudence,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(cf. ATF 125 V 35 sv. consid. 3b/ee ; TF U 476/06 du 17 septembre 2007 consid. 2). b) Cela étant, même en tenant compte de la jurisprudence récente de la Cour européenne des droits de l'homme sur le principe de l'égalité des armes, tiré du droit à un procès équitable garanti par l'art. 6 par. 1 CEDH (Convention de sauvegarde des droits de l'homme et des libertés fondamentales du 4 novembre 1950 ; RS 0.101), il n'existe pas,</w:t>
      </w:r>
    </w:p>
    <w:p>
      <w:r>
        <w:t>- 13 - dans la procédure d'octroi ou de refus de prestations d'assurances sociales, de droit formel à une expertise menée par un médecin externe à l'assurance (ATF 135 V 465 consid. 4.3 p. 468). Il convient toutefois d'ordonner une telle expertise si des doutes, même faibles, subsistent quant à la fiabilité et à la pertinence des constatations médicales effectuées par le service médical interne de l'assurance (ATF 135 V 465 consid. 4.6 p. 471 ; TF 9C_800/2013 du 7 mars 2014 consid. 3.3).</w:t>
      </w:r>
    </w:p>
    <w:p>
      <w:r>
        <w:rPr>
          <w:b/>
        </w:rPr>
        <w:t>E. 5</w:t>
      </w:r>
    </w:p>
    <w:p>
      <w:r>
        <w:t>Le recourant reproche à l’intimée de s’être fondée sur la seule évaluation effectuée par son médecin d’arrondissement, le Dr B.________, pour fixer la quotité de l’indemnité pour atteinte à l’intégrité. Au demeurant, dite appréciation ne serait pas concluante, car elle procéderait d’un examen insuffisamment approfondi et recèlerait plusieurs lacunes. Tel n’est pas l’avis de l’intimée qui considère au contraire que le rapport du Dr B.________ est suffisamment précis pour rendre compte en toute connaissance de cause de la situation médicale du recourant, fondant ainsi la décision querellée. Il est par ailleurs exempt de contradictions et concorde dans une large mesure avec les divers rapports médicaux versés au dossier. a) Le point de vue de l’intimée doit être suivi. Satisfaisant aux réquisits jurisprudentiels, le rapport du Dr B.________ du 12 novembre 2012 peut en effet se voir conférer une pleine valeur probante. Ce médecin a examiné personnellement le recourant et avait à sa disposition les pièces médicales versées au dossier administratif, le recourant ne soutenant au demeurant pas que le Dr B.________ aurait négligé des informations issues d’autres rapports médicaux. Il a par ailleurs pris note des plaintes de l’assuré et en a objectivement tenu compte dans l’évaluation du taux d’atteinte à l’intégrité. Son appréciation est exhaustive, motivée et concorde avec les observations des Drs R.________ et P.________, ainsi que les constats issus des examens d’imagerie et radiologiques. En retenant qu’il n’y a objectivement pas de syndrome vertébral au niveau cervical, ni signe d’atteinte médullaire ou radiculaire, le Dr B.________ ne s’écarte pas de l’appréciation du Dr R.________, qui considère que l’assuré est guéri,</w:t>
      </w:r>
    </w:p>
    <w:p>
      <w:r>
        <w:t>- 14 - puisqu’il ne présente plus de séquelles sur ce plan. De leur côté, les médecins de la Clinique A.________ retiennent une amélioration de la mobilité, de l’équilibre et de la force du rachis cervical. Quant aux examens radiologiques pratiqués en décembre 2010 (CT-scan du rachis cervical et radiographie de la colonne cervicale), ils ne font pas état de lésions significatives. S’agissant du genou gauche, le Dr B.________ note que celui-ci ne présente aucun signe réactif local, l’assuré ayant récupéré une bonne mobilité. Il n’y a pas de laxité dans le plan frontal même si un tiroir postérieur résiduel est observé. Il n’y a pas d’amyotrophie de la cuisse gauche et le genou a une très bonne force. Ces constatations se superposent dans une large mesure à celles du Dr P.________ selon lesquelles, à l’examen clinique, même s’il persiste une petite laxité résiduelle postérieure, au demeurant compatible avec les résultats de l’intervention pratiquée, le genou est sec et l’amplitude articulaire complète. Du reste, l’assuré décrit un genou fonctionnel, même s’il ressent parfois quelques petites douleurs à l’effort, lesquelles n’influencent toutefois pas ses activités. A l’issue de son examen clinique, le Dr P.________ peut dès lors conclure à une évolution favorable, à l’instar du le Dr R.________ en ce qui concerne la colonne cervicale. Par ailleurs, la mère de l’assuré, dans un entretien téléphonique du 17 juillet 2012 à l’intimée, a déclaré que son fils avait bien récupéré tant au niveau du dos que du genou. Enfin, l’assuré a indiqué au Dr B.________ qu’il n’était plus suivi sur le plan médical et qu’il ne prenait plus aucun traitement, notamment antalgique (cf. rapport d’examen médical final du 12 novembre 2012, p. 4). On peine donc, dans ces conditions, à distinguer quels éléments au dossier s’inscriraient en porte-à-faux des conclusions du Dr B.________. Au reste, le recourant n’a produit aucun élément médical susceptible de les mettre en doute. b) Cela étant, le recourant estime que le taux d’atteinte à l’intégrité de 15% retenu par l’intimée sur la base de l’appréciation du Dr B.________ devrait être réévalué, dans la mesure où il ne tient pas compte de certains facteurs, tels que l’inaptitude au service militaire ainsi que les douleurs ressenties, lesquelles l’entravent tant sur le plan professionnel que dans le cadre de sa pratique sportive.</w:t>
      </w:r>
    </w:p>
    <w:p>
      <w:r>
        <w:t>- 15 - C’est ici le lieu de rappeler que, conformément à la jurisprudence résumée ci-avant (cf. consid. 3b ci-dessus), la fixation de l'indemnité pour atteinte à l'intégrité dépend uniquement de facteurs médicaux objectifs valables pour tous les assurés, sans égard à des considérations d'ordre subjectif ou personnel. Constituent des facteurs subjectifs sans pertinence pour l’évaluation de l’atteinte à l’intégrité, l’inaptitude au service militaire, la perte d’emploi et d’expérience professionnelle, l’impact sur les activités sportives et la manière dont les douleurs sont ressenties. Il en va de même pour les répercussions de l’atteinte à la santé sur l’exercice de la profession, lesquelles relèveraient le cas échéant de l’octroi d’une rente d’invalidité. L’octroi éventuel de cette prestation n’est toutefois pas litigieux en l’espèce. En faisant ainsi abstraction des circonstances particulières du cas concret, c’est à juste titre que le Dr B.________ n’a pas tenu compte des inconvénients spécifiques qu'une telle atteinte entraîne pour le recourant. Subsiste la question de savoir si l’atteinte à l’intégrité a en l’occurrence été correctement évaluée. c) S’agissant de l’application des tables 6 et 7, le Dr B.________ a correctement évalué les atteintes. Pour le genou, une instabilité légère ne donne pas lieu à indemnisation, une instabilité modérée se rapportant à un ou deux ligaments croisés donne droit à une indemnité de 0 à 5%. Le Dr B.________ a néanmoins retenu le taux maximum pour une instabilité modérée et sachant que le Dr P.________ qualifie de « petite » la laxité résiduelle postopératoire, le taux aurait pu être théoriquement de 0% plutôt que de 5%. On en déduit que le Dr B.________ a ainsi pris en compte l’aggravation prévisible. Pour la fracture cervicale, la table 7 ne retient pas, en matière de spondylodèse, la grandeur de la plaque et des vis dans les critères de calcul de telle sorte que le Dr B.________ n’avait pas à la prendre spécifiquement en compte dans son appréciation. On relèvera au demeurant que ces indications figurent dans le compte rendu opératoire du Dr R.________. Le taux pour une fracture cervicale avec spondylodèse présentant une courbure égale ou inférieure à 10 degrés est fonction de</w:t>
      </w:r>
    </w:p>
    <w:p>
      <w:r>
        <w:t>- 16 - l’existence, respectivement de l’importance des douleurs fonctionnelles. En l’espèce, si l’on reprend les déclarations de l’assuré, selon lesquelles la nuque est un peu douloureuse, on ne peut que constater que le Dr B.________ a correctement classé les douleurs dans la catégorie « + ». Cela étant, au vu de l’échelle prévalant pour les douleurs classées en « + », il est manifeste que le taux de 10% comprend également l’aggravation prévisible. De jurisprudence constante, la règle de l’art. 36 al. 4 OLAA ne vise que les aggravations dont la survenance est vraisemblable et l’importance quantifiable (RAMA 1998 n° U 320 p. 602 consid. 3b et la référence). En l’occurrence, l’assuré est présumé guéri. Plus aucun traitement, ni nouvelle opération ne sont envisagés. En de telles circonstances, en prenant en compte « une certaine aggravation prévisible », le Dr B.________ anticipe manifestement sur une vraisemblable aggravation, au niveau des articulations lésées, du phénomène de dégénérescence évolutive lié au processus normal du vieillissement. Aucun document au dossier ne permet de s’élever contre l’appréciation du Dr B.________ sur ce point. Pour le surplus, l’assuré bénéficie d’un droit à la révision si une aggravation importante et non prévisible devait se produire, en l’occurrence une aggravation excédant de manière exceptionnelle celle propre à la dégénérescence induite par le vieillissement. Sur le vu de ce qui précède, le taux de l’indemnité pour atteinte à l’intégrité de 15% doit ainsi être confirmé, ceci en fonction des changements de temps, avec tensions musculaires. d) Le recourant reproche encore à l’intimée de ne pas avoir explicité le gain maximum annuel assuré de 126'000 fr. lui ayant servi de base pour le calcul de l’indemnité allouée. Ce montant ressort explicitement de l’art. 22 al. 1 OLAA en application de l’art. 18 LPGA, auquel il suffit de renvoyer le recourant.</w:t>
      </w:r>
    </w:p>
    <w:p>
      <w:r>
        <w:rPr>
          <w:b/>
        </w:rPr>
        <w:t>E. 6</w:t>
      </w:r>
    </w:p>
    <w:p>
      <w:r>
        <w:t>Le recourant sollicite la mise en œuvre d’une expertise médicale neutre et objective.</w:t>
      </w:r>
    </w:p>
    <w:p>
      <w:r>
        <w:t>- 17 -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(Constitution fédérale de la Confédération suisse du 18 avril 1999 ; RS 101) (SVR 2001 IV n° 10 p. 28 consid. 4b; cf. ATF 124 V 90 consid. 4b p. 94; 122 V 157 consid. 1d p. 162 et l'arrêt cité ; TF 9C_272/2011 du 6 décembre 2011 consid. 3.1). b) Le dossier étant complet sur le plan médical, permettant ainsi à la Cour de céans de statuer en pleine connaissance de cause, il n’y a pas lieu d’ordonner une instruction complémentaire, sous la forme d’une expertise neutre, telle que requise par le recourant. En effet, une telle mesure ne serait pas de nature à modifier les considérations qui précèdent, puisque les faits pertinents ont pu être constatés à satisfaction de droit. Dans la mesure où les conclusions rapportées par le Dr B.________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w:t>
      </w:r>
    </w:p>
    <w:p>
      <w:r>
        <w:rPr>
          <w:b/>
        </w:rPr>
        <w:t>E. 7</w:t>
      </w:r>
    </w:p>
    <w:p>
      <w:r>
        <w:t>En définitive, le recours, mal fondé, doit être rejeté, ce qui entraîne la confirmation de la décision attaquée.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