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ZA13.016550 vom 17. September 2013</w:t>
      </w:r>
    </w:p>
    <w:p>
      <w:r>
        <w:t>VD Tribunal cantonal, 2013-09-17, FR</w:t>
      </w:r>
    </w:p>
    <w:p>
      <w:r>
        <w:rPr>
          <w:b/>
        </w:rPr>
        <w:t xml:space="preserve">Quelle: </w:t>
      </w:r>
      <w:r>
        <w:t>https://mcp.opencaselaw.ch/entscheid/vd_gerichte_ZA13.016550</w:t>
      </w:r>
    </w:p>
    <w:p>
      <w:r>
        <w:t>FR: VD_GERICHTE ZA13.016550 du 17 septembre 2013</w:t>
      </w:r>
    </w:p>
    <w:p>
      <w:r>
        <w:t>IT: VD_GERICHTE ZA13.016550 del 17 settembre 2013</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7e jour avant Pâques au 7e jour après Pâques inclusivement (art. 38 al. 4 let. a LPGA).</w:t>
      </w:r>
    </w:p>
    <w:p>
      <w:r>
        <w:t>- 7 -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Le litige porte sur le point de savoir si la F.________ SA était fondée, par sa décision sur opposition du 6 mars 2013, à refuser d’allouer à l’assuré des prestations d’assurance-accidents en relation avec l’événement du 7 août 2012. Singulièrement, il s’agit d’examiner si l’événement en cause constitue un accident.</w:t>
      </w:r>
    </w:p>
    <w:p>
      <w:r>
        <w:rPr>
          <w:b/>
        </w:rPr>
        <w:t>E. 3</w:t>
      </w:r>
    </w:p>
    <w:p>
      <w:r>
        <w:t>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w:t>
      </w:r>
    </w:p>
    <w:p>
      <w:r>
        <w:t>- 8 -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p. 404 et les références citées).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p. 404; 122 V 230 consid. 1 p. 233; 121 V 35 consid. 1a p. 38; 118 V 59 consid. 2b p. 61).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et les références citées). Le caractère extraordinaire peut ainsi être admis lorsque l'assuré s'encouble, glisse ou se heurte à un objet, ou encore lorsqu'il exécute ou tente d'exécuter un mouvement par réflexe pour éviter une chute (TF U 252/06 du 4 mai 2007 consid. 2).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citées). A eux seuls, les efforts exercés sur le squelette, les articulations, les muscles, les tendons et les</w:t>
      </w:r>
    </w:p>
    <w:p>
      <w:r>
        <w:t>- 9 - ligaments ne constituent pas une cause dommageable extérieure en tant qu'elle présuppose un risque de lésion non pas extraordinaire mais à tout le moins accru en regard d'une sollicitation normale de l'organisme (ATF 129 V 470 consid. 4.2.2). b) En outre, aux termes de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RS 832.202), qui prévoit que les lésions suivantes sont assimilées à un accident, même si elles ne sont pas causées par un facteur extérieur de caractère extraordinaire : a. les fractures; b. les déboîtements d'articulations; c. les déchirures du ménisque; d. les déchirures de muscles; e. les élongations de muscles; f. les déchirures de tendons; g. les lésions de ligaments; h. les lésions du tympan. Cette liste est réputée exhaustive (ATF 116 V 136 consid. 4a et les références citées).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citées).</w:t>
      </w:r>
    </w:p>
    <w:p>
      <w:r>
        <w:t>- 10 -</w:t>
      </w:r>
    </w:p>
    <w:p>
      <w:r>
        <w:rPr>
          <w:b/>
        </w:rPr>
        <w:t>E. 4</w:t>
      </w:r>
    </w:p>
    <w:p>
      <w:r>
        <w:t>En premier lieu, comme l’admet du reste le recourant, il faut constater que l’atteinte en cause ne tombe pas sous le coup de l’art. 9 al. 2 OLAA, la hernie discale ne figurant pas sur la liste – réputée exhaustive – de l’art. 9 al. 2 OLAA. Il convient dès lors d’examiner si l’événement du 7 août 2012 est constitutif d’un accident au sens de l’art. 4 LPGA. Pour le recourant, il a perdu l’équilibre en voulant ramasser sa sacoche, d’un certain poids, ce qui constitue un mouvement non coordonné remplissant l’exigence de la cause extérieure extraordinaire. L’intimée conteste pour sa part tout caractère extraordinaire à l’événement. Selon la déclaration d’accident, l’assuré, alors qu’il travaillait depuis son domicile, a ressenti une vive douleur dans le dos en soulevant son ordinateur portable posé à terre. Invité à préciser le déroulement exact de l’événement du 7 août 2012, il a indiqué le 8 octobre 2012 à l’intimée qu’il était assis sur sa chaise, s’était penché sur le côté pour ramasser la sacoche contenant son ordinateur portable, des dossiers de bureaux et des équipements, avait perdu l’équilibre et senti une douleur violente au dos le faisant relâcher la sacoche. Selon les déclarations de l’assuré rapportées par le chiropraticien V.________ dans son certificat médical LAA du 9 octobre 2012, le patient avait ressenti de fortes douleurs au bas du dos à partir du 7 août 2012 à la suite d’un mouvement en se penchant en avant au-dessus de son ordinateur chez lui. A l’instar de l’intimé, on doit admettre que la condition du facteur extérieur de l’atteinte n’est pas remplie. Le déroulement naturel de l’événement du 7 août 2012 n’a pas été influencé par un élément particulier tel une chute, un coup ou un mouvement brusque. Au demeurant, rien ne laisse penser que la sacoche en cause contenait des objets pesants, s’agissant d’un ordinateur portable, de dossiers et d’équipements. Le recourant a du reste immédiatement précisé qu’il s’agissait d’une sacoche, soit un "sac de cuir (ou parfois de toile forte) qu’une courroie permet de porter (définition du Petit Robert)". A cet égard,</w:t>
      </w:r>
    </w:p>
    <w:p>
      <w:r>
        <w:t>- 11 - le recourant a fourni de façon volontaire un effort sur lequel il avait une maîtrise totale. On ne saurait dès lors admettre l’existence d’un mouvement non programmé. Il a du reste été jugé que le fait pour un homme de subir une lésion en soulevant un carton de livres de 10 à 15 kg ne répondait à l’évidence pas à la définition de l’accident, faute d’un facteur extérieur extraordinaire (v. par exemple ATF 116 V 136). Aussi, les circonstances de la présente espèce se distinguent-elles de celles des arrêts cités par le recourant à l’appui de sa thèse. Dans le premier arrêt (RAMA 2000 U 368 p. 99-100), il s’agissait de la perforation de l'oesophage survenue au cours de l'extraction d'un morceau de viande. Dans l’autre arrêt cité (ATF 130 V 117), il était question d’un match de hockey sur glace, à l’occasion duquel il avait été constaté que le fait de subir une charge contre la balustrade pouvait être considéré comme un mouvement non programmé excédant ce que l’on peut objectivement qualifier de normal et habituel. Or in casu, le recourant n’a subi aucune charge. Il admet au demeurant que le mouvement en cause n’apparaît pas comme la cause directe de l’atteinte corporelle, savoir la hernie discale. Il ne ressort enfin pas non plus des faits qu’il aurait tenté d’exécuter un mouvement réflexe pour éviter une chute (cf. arrêt du 7 octobre 2003, U 322/02). En outre, s'il y avait réellement eu perte d'équilibre, le recourant n'indique pas quel mouvement non programmé en serait à l'origine ou quel mouvement il aurait fait pour rétablir son équilibre. S’il est constant que la notion d’accident est une notion juridique et non médicale, il convient encore de relever que le chiropraticien V.________ a estimé qu’il s’agissait d’un cas de maladie (cf. certificat médical du 9 octobre 2012), au même titre que le Dr H.________, qui a également indiqué sur la prescription de physiothérapie du 8 octobre 2012 qu’il s’agissait d’un cas de maladie. Par surabondance, on rappellera que s'agissant d'atteintes de type hernie discale, le Tribunal fédéral a eu l'occasion de préciser à plusieurs reprises que pratiquement toutes ces lésions s'insèrent, selon l'expérience médicale, dans un contexte d'altérations des disques intervertébraux d'origine dégénérative, un événement accidentel</w:t>
      </w:r>
    </w:p>
    <w:p>
      <w:r>
        <w:t>- 12 - n'apparaissant qu'exceptionnellement, et pour autant que certaines conditions particulières soient réalisées, comme la cause proprement dite d'une telle atteinte. Ainsi selon notre Haute Cour, une hernie discale peut être considérée comme étant due principalement à un accident lorsque celui-ci revêt une importance particulière, qu'il est de nature à entraîner une lésion du disque intervertébral et que les symptômes de l'hernie discale (syndrome vertébral ou radiculaire) apparaissent immédiatement, entraînant aussitôt une incapacité de travail (TF 8C_659/2007 du 27 mars 2008 consid. 3.1; ASS 2006 2 p. 14, U 351/04; RAMA 2000 no U 378 p. 190 consid. 3b, U 149/99; SZIER 2001 p. 346 consid. 3b, U 4/00). Or il est constant que l’événement en cause, qui ne peut au demeurant être considéré comme un accident, ne revêt manifestement pas une importance particulière, ni n’est de nature à entraîner une lésion du disque intervertébral, cette dernière ne pouvant être due principalement à cet événement.</w:t>
      </w:r>
    </w:p>
    <w:p>
      <w:r>
        <w:rPr>
          <w:b/>
        </w:rPr>
        <w:t>E. 5</w:t>
      </w:r>
    </w:p>
    <w:p>
      <w:r>
        <w:t>En définitive, le recours, mal fondé, doit être rejeté, ce qui entraîne la confirmation de la décision sur opposition litigieuse. Il n'est pas perçu de frais de justice, la procédure étant gratuite (art. 61 let. a LPGA), ni alloué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