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ZA12.050134 vom 13. November 2013</w:t>
      </w:r>
    </w:p>
    <w:p>
      <w:r>
        <w:t>VD Tribunal cantonal, 2013-11-13, FR</w:t>
      </w:r>
    </w:p>
    <w:p>
      <w:r>
        <w:rPr>
          <w:b/>
        </w:rPr>
        <w:t xml:space="preserve">Quelle: </w:t>
      </w:r>
      <w:r>
        <w:t>https://mcp.opencaselaw.ch/entscheid/vd_gerichte_ZA12.050134</w:t>
      </w:r>
    </w:p>
    <w:p>
      <w:r>
        <w:t>FR: VD_GERICHTE ZA12.050134 du 13 novembre 2013</w:t>
      </w:r>
    </w:p>
    <w:p>
      <w:r>
        <w:t>IT: VD_GERICHTE ZA12.050134 del 13 novembre 2013</w:t>
      </w:r>
    </w:p>
    <w:p>
      <w:pPr>
        <w:pStyle w:val="Heading2"/>
      </w:pPr>
      <w:r>
        <w:t>Erwägungen</w:t>
      </w:r>
    </w:p>
    <w:p>
      <w:r>
        <w:rPr>
          <w:b/>
        </w:rPr>
        <w:t>E. 10</w:t>
      </w:r>
    </w:p>
    <w:p>
      <w:r>
        <w:t>décembre 2012, en concluant principalement à sa réforme en ce sens que Mutuel Assurances SA est tenue de prendre en charge les conséquences de l’accident du 17 avril 2012, subsidiairement à son annulation et au renvoi du dossier à la caisse pour complément d’instruction et nouvelle décision. Elle réitère en premier chef son grief relatif à l’invalidité formelle de la décision entreprise, à défaut d’avoir été signée par des personnes figurant au registre du commerce. Elle reproche ensuite à l’intimée d’avoir agi en violation du principe de la bonne foi et de son obligation d’instruction, en différant de statuer sans chercher à savoir exactement de quelle manière les faits s’étaient déroulés. Qualifiant l’appréciation de l’assureur-accidents d’arbitraire, elle fait valoir que la lésion subie ne résulte pas du fait, ordinaire, qu’elle a tiré un lit, mais d’un mouvement très brusque accompli pour éviter une collision, soit d’un événement extérieur et extraordinaire. Elle soutient enfin qu’elle n’avait aucune prédisposition qui permettrait de rattacher l’entorse à des causes antérieures à l’accident et que le préjudice corporel subi constitue une lésion assimilée à un accident. Dans sa réponse du 16 janvier 2013, Mutuel Assurances SA conclut au rejet du recours. Tout en contestant les arguments de la recourante relatifs à l’invalidité formelle de la décision attaquée et à la violation du devoir d’instruction, l’intimée estime pour sa part qu’il y a lieu de s’en tenir aux premières déclarations de l’assurée, du 11 juin 2012, selon lesquelles cette dernière s’est fait mal au dos en effectuant un mouvement de traction plus important vers la gauche pour éviter un</w:t>
      </w:r>
    </w:p>
    <w:p>
      <w:r>
        <w:t>- 5 - chariot se trouvant sur son passage. La caisse maintient que pareil effort est inhérent au métier d’infirmière, de sorte qu'il ne saurait être considéré comme extraordinaire. Elle rappelle également que la recourante présente un contexte d'origine maladive, soit une spondylarthrite connue, qui a joué un rôle. Enfin, elle écarte toute lésion assimilée à un accident en l’absence de diagnostic spécialisé et de cause extérieure. En réplique du 11 mars 2013, la recourante confirme ses conclusions. Elle reproche à l’intimée de ne pas avoir sollicité une nouvelle appréciation médicale avant de rendre la décision querellée et affirme qu’un éventuel lien entre la spondylarthrite et le traumatisme subi n’est pas démontré, références médicales à l’appui. Elle soutient que les déclarations postérieures au 11 juin 2012 ne sont pas contradictoires mais complémentaires et soupçonne la caisse d'avoir délibérément atermoyé dans le but de compromettre l'établissement des faits. Elle allègue que la position de l’assureur-accidents est d’autant moins soutenable que sa caisse-maladie Philos Assurance Maladie SA a refusé, dans un courrier du</w:t>
      </w:r>
    </w:p>
    <w:p>
      <w:r>
        <w:rPr>
          <w:b/>
        </w:rPr>
        <w:t>E. 12</w:t>
      </w:r>
    </w:p>
    <w:p>
      <w:r>
        <w:t>décembre 1979, RSV 173.01]). 2. Le litige porte sur le point de savoir si l'intimée doit prendre en charge les suites de l'événement du 17 avril 2012, singulièrement si cet</w:t>
      </w:r>
    </w:p>
    <w:p>
      <w:r>
        <w:t>- 7 - événement doit être qualifié d'accident ou s'il a occasionné une lésion assimilée à un accident. 3. a) Aux termes de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 TF 8C_767/2012 du 18 juillet 2013 consid. 3.1). Le facteur doit être extérieur en ce sens que ce doit être une cause externe et non interne au corps humain qui agit (Frésard/Moser- Szeless, L'assurance-accidents obligatoire, in: Schweizerisches Bundesverwaltungsrecht, Soziale Sicherheit [SBVR], 2ème éd., Bâle/Genève/Munich 2007, n° 66 p. 859).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 TF 8C_767/2012 du 18 juillet 2013 consid. 3.1). Selon la jurisprudence, le critère du facteur extraordinaire extérieur peut résulter d'un mouvement non coordonné. Lors d'un</w:t>
      </w:r>
    </w:p>
    <w:p>
      <w:r>
        <w:t>- 8 -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Le caractère extraordinaire peut ainsi être admis lorsque l'assuré s'encouble, glisse ou se heurte à un objet, ou encore lorsqu'il exécute ou tente d'exécuter un mouvement par réflexe pour éviter une chute. Lorsque la lésion se limite à une atteinte corporelle interne qui pourrait également survenir à la suite d'une maladie, le mouvement non coordonné doit en apparaître comme la cause directe selon des circonstances particulièrement évidentes (TF U 252/06 du 4 mai 2007 consid. 2 et les références).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466 consid. 4.2.2). b) A teneur de l'art. 6 al. 2 LAA, le Conseil fédéral peut inclure dans l'assurance-accidents des lésions corporelles qui sont semblables aux conséquences d'un accident. En vertu de cette délégation de compétence, il a édicté l'art. 9 al. 2 OLAA (ordonnance du 20 décembre 1982 sur l'assurance-accidents,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lésions de ligaments figurent dans la liste exhaustive de l'art. 9 al. 2 OLAA à la let. g.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w:t>
      </w:r>
    </w:p>
    <w:p>
      <w:r>
        <w:t>- 9 - mentionnées à l'art. 9 al. 2 OLAA sont assimilées à un accident même si elles ont, pour l'essentiel, une origine vraisemblablement maladive ou dégénérative, pour autant qu'une cause extérieure ait, au moins, déclenché les symptômes dont souffre l'assuré (ATF 129 V 466 ; TF 8C_101/2012 du 2 mai 2013 consid. 3.1). c)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8C_788/2012 du 17 juillet 2013 consid. 4). d)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(TF 8C_667/2012 du 12 juin 2013 consid. 4.1 et la référence citée). 4. a) Dans le cas d'espèce, la version des faits présentée par la recourante dans son recours ne peut pas être tenue pour établie. Le questionnaire rempli par cette dernière le 11 juin 2012 mentionne expressément qu’une description détaillée est requise, puis, dans une nouvelle question, demande de décrire en quoi l’événement se serait déroulé dans des circonstances particulières. L'assurée devait donc savoir</w:t>
      </w:r>
    </w:p>
    <w:p>
      <w:r>
        <w:t>- 10 - qu’il lui appartenait de donner une description précise, en particulier en ce qui concerne le caractère inhabituel de l’événement. Partant, il n'est pas possible de retenir que le chariot serait survenu inopinément sur son passage, comme le soutient l'intéressée pour la première fois dans son opposition du 8 octobre 2012. Il y a lieu de se référer au contraire à ses premières déclarations, conformément à la jurisprudence précitée (cf. supra, consid. 3c), selon lesquelles elle s’est blessée alors qu'elle reconduisait un patient dans son lit, en effectuant un mouvement de traction plus important vers la gauche pour éviter un obstacle. Quoi qu’il en soit, ce mouvement ne revêt pas un caractère extraordinaire, indépendamment du point de savoir si ledit obstacle est survenu inopinément ou pas. En effet, le fait pour une infirmière d'éviter un objet par un mouvement de torsion, en déplaçant le lit d'un patient, n'excède pas le cadre des événements rencontrés habituellement, voire même au quotidien, dans l'exercice de cette profession. La recourante n'a du reste jamais fait état d'un mouvement non coordonné, tels une glissade ou un heurt, qui permettrait de considérer que l'effort déployé a entraîné une sollicitation accrue de l'organisme. Partant, à défaut de remplir l'une des conditions exigées par l'art. 4 LPGA (cf. supra, consid. 3a), l'événement litigieux du 17 avril 2012 ne constitue pas un accident à charge de l'intimée. b) Reste à déterminer si la lésion subie doit être assimilée à un accident au regard de l'art. 9 al. 2 OLAA (cf. supra, consid. 3b). A cet égard, la seule pièce médicale figurant au dossier, savoir le rapport de la Dresse Z.________ du 14 juin 2012, pose le diagnostic d’entorse dorso- cervicale. Une lésion ligamentaire au sens de l’art. 9 al. 2 let. g OLAA n'est donc pas exclue. Cependant, en l’absence de toute instruction complémentaire de l’intimée sur ce point, en dépit de son devoir d’instruire la cause d’office (cf. supra, consid. 3d), il n'est pas possible de constater les faits de manière suffisante en l’état du dossier. Or, la question pourrait être déterminante dans la mesure où, si une lésion ligamentaire était établie, il faudrait admettre une lésion assimilée à un accident. La traction d’un lit sur lequel repose un patient d’environ 90 kg,</w:t>
      </w:r>
    </w:p>
    <w:p>
      <w:r>
        <w:t>- 11 - en torsion, avec un mouvement brusque, tel que mentionné notamment dans le rapport médical du 14 juin 2012, constitue en effet un facteur extérieur, certes non extraordinaire, mais pouvant faire admettre l'existence d'une lésion assimilée à un accident au sens de l’art. 9 al. 2 OLAA en cas de lésion ligamentaire. L'intimée ne pouvait dès lors se contenter d'arguer que le diagnostic posé par le médecin traitant n'avait pas été confirmé par des examens spécialisés, qu'elle se devait précisément d'ordonner selon l'art. 43 al. 1 LPGA. Il y a donc lieu de lui renvoyer le dossier à cet effet. Dans ces circonstances, la question de la validité formelle de la décision contestée peut être laissée ouverte. 5. a) En définitive, le recours doit être admis et la cause renvoyée à la caisse intimée afin qu'elle en complète l'instruction par une expertise au sens de l'art. 44 LPGA et rende une nouvelle décision. b) Vu l'admission du recours, la recourante, qui a agi avec le concours d'un mandataire professionnel, a droit à une indemnité de dépens dont le montant doit être déterminé, sans égard à la valeur litigieuse, d'après l'importance et la complexité du litige (art. 61 let. g LPGA ; cf. également art. 7 TFJAS [tarif du 2 décembre 2008 des frais judiciaires et des dépens en matière de droit des assurances sociales, RSV 173.36.5.2]). La recourante soutient que la manière d'agir de l'intimée aurait compliqué la procédure et créé un travail supplémentaire important, justifiant l'octroi de dépens substantiels. La liste des opérations de son conseil fait état de 15,3 heures de travail. Cette liste n'est toutefois pas suffisamment détaillée et recouvre des opérations antérieures à la décision sur opposition litigieuse. Par ailleurs, la cause n'est pas particulièrement complexe et ne comprend pas un grand nombre de pièces à étudier, au contraire. Le refus de prise en charge de factures de prestataires de soins par l'assurance-maladie et l'assurance-accidents</w:t>
      </w:r>
    </w:p>
    <w:p>
      <w:r>
        <w:t>- 12 - simultanément ne constitue pas une complication excessive, vu en particulier l'art. 70 LPGA ; on peut même se demander si la question était réellement comprise dans l'objet du litige, sans qu'il soit nécessaire de la trancher. Aussi convient-il de fixer l'indemnité de dépens à 2'500 fr., ce qui suffit à couvrir les opérations nécessaires à la défense des intérêts de la recourante, et de la mettre à charge de l'intimée, qui succombe (art. 55 al. 2 LPA-VD). Il n'y a pas lieu de percevoir des frais de justice, la procédure étant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