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ZA12.044748 vom 7. April 2014</w:t>
      </w:r>
    </w:p>
    <w:p>
      <w:r>
        <w:t>VD Tribunal cantonal, 2014-04-07, FR</w:t>
      </w:r>
    </w:p>
    <w:p>
      <w:r>
        <w:rPr>
          <w:b/>
        </w:rPr>
        <w:t xml:space="preserve">Quelle: </w:t>
      </w:r>
      <w:r>
        <w:t>https://mcp.opencaselaw.ch/entscheid/vd_gerichte_ZA12.044748</w:t>
      </w:r>
    </w:p>
    <w:p>
      <w:r>
        <w:t>FR: VD_GERICHTE ZA12.044748 du 7 avril 2014</w:t>
      </w:r>
    </w:p>
    <w:p>
      <w:r>
        <w:t>IT: VD_GERICHTE ZA12.044748 del 7 aprile 2014</w:t>
      </w:r>
    </w:p>
    <w:p>
      <w:pPr>
        <w:pStyle w:val="Heading2"/>
      </w:pPr>
      <w:r>
        <w:t>Erwägungen</w:t>
      </w:r>
    </w:p>
    <w:p>
      <w:r>
        <w:rPr>
          <w:b/>
        </w:rPr>
        <w:t>E. 6</w:t>
      </w:r>
    </w:p>
    <w:p>
      <w:r>
        <w:t>Cela étant, il y encore lieu d’examiner le calcul du taux d’invalidité auquel a procédé l’intimée. a) aa) Pour évaluer le taux d’invalidité, le revenu du travail que l'assuré aurait pu obtenir s’il n’était pas invalide est comparé à celui que l’assuré devenu invalide par suite d'un accident pourrait obtenir en exerçant l’activité que l’on peut raisonnablement attendre de lui, après exécution éventuelle de traitements et de mesures de réadaptation et compte tenu d’une situation équilibrée du marché du travail (cf. art. 16 LPGA; cf. TF 8C_125/2010 du 2 novembre 2010 consid. 2; cf. JEAN-MAURICE FRÉSARD/MARGIT MOSER-SZELESS, op. cit.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cette tâche revenant à l'assurance-chômage – mais uniquement de se demander s'il pourrait encore exploiter économiquement sa capacité</w:t>
      </w:r>
    </w:p>
    <w:p>
      <w:r>
        <w:t>- 39 - résiduelle de travail lorsque les places de travail disponibles correspondent à l'offre de la main d'œuvre (cf. TF 8C_771/2011 du 15 novembre 2012 consid. 4.2). C'est dès lors en vain que le recourant fait valoir que la comparaison des revenus effectuée par la CNA ne tient pas compte de la réalité du marché du travail. bb)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cf. TF 9C_195/2010 du 16 août 2010 consid. 6.2; cf. FRÉSARD/MOSER-SZELESS, op. cit., n° 165 pp. 898-899). Pour procéder à la comparaison des revenus, il convient de se placer au moment de la naissance du droit éventuel à la rente (cf. ATF 129 V 222; cf. TF 9C_254/2010 du 29 octobre 2010 consid. 4.2). cc)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cf. TF 9C_651/2008 du 9 octobre 2009, consid. 6.1.2.1). dd)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descriptions de postes de travail établies par la</w:t>
      </w:r>
    </w:p>
    <w:p>
      <w:r>
        <w:t>- 40 - CNA (cf. ATF 135 V 297 consid. 5.2, 129 V 472 consid. 4.2.1; cf. TF 8C_287/2010 du 18 novembre 2010 consid. 3). Dans ce cas,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cf.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cf. également TF 8C_809/2008 du 19 juin 2009 consid. 4.2.2). Il s'agit d'assurer une certaine représentativité des DPT produites et de garantir le respect du droit d'être entendu du recourant (ATF 129 V 472; cf. TF 8C_809/2008 du 19 juin 2009 consid. 4.2.2). b) En l'occurrence, le recourant ne conteste pas le revenu sans invalidité, fixé à 4'900 fr. par mois par la CNA, mais critique le choix des DPT auquel a procédé l’intimée pour établir son revenu d’invalide. A cet égard, il faut constater que faute pour le recourant d’avoir repris une activité adaptée à son handicap, la CNA était fondée à recourir aux DPT pour établir son revenu d'invalide. Les cinq DPT retenues par la CNA – à savoir chauffeur de taxi (DPT n° 10500) collaborateur de production (à Payerne et à Crissier, DPT n° 5957 et n° 5828), employé de garage (DPT n° 2261) et aide-mécanicien (DPT n° 3305) - sont compatibles avec les limitations fonctionnelles du recourant liées à son atteinte à l’épaule gauche (à savoir pas d’activité exigeant la sollicitation ou la manutention du bras gauche au-delà de l’horizontale, ni le port de charges supérieures à 10 kg avec le bras gauche), puisqu’il s’agit d’activités n’impliquant pas le port de charges de plus de 10 kg ou de travailler avec les bras au-dessus de l’horizontale. Les DPT retenues apparaissent</w:t>
      </w:r>
    </w:p>
    <w:p>
      <w:r>
        <w:t>- 41 - également compatibles avec la formation et l’expérience professionnelle du recourant. On relèvera en particulier que le recourant a déjà exercé l’activité de chauffeur de taxi (cf. son audition effectuée par la CNA le 27 avril 2012). En outre, les conditions formelles posées par la jurisprudence ont été respectées, puisque le recourant a pu prendre connaissance, dans le cadre de la présente procédure judiciaire, du nombre total de postes de travail entrant en considération pour lui d’après son handicap, ainsi que du salaire le plus haut, du salaire le plus bas et du salaire moyen du groupe de référence. Une éventuelle violation de son droit d’être entendu a ainsi été réparée dans la présente procédure (cf. supra consid. 3b). Les critiques du recourant selon lesquelles la CNA n’a pas examiné les métiers de cariste, aide-couvreur ou aide-serrurier, pour établir son revenu d’invalide ne sont par ailleurs pas fondées. En effet, on relèvera d’abord que le Dr C.________ a retenu que l’activité d’aide- serrurier était contre-indiquée compte tenu de son état de santé (cf. son rapport médical du 2 mars 2011). Pour le surplus, ni les constatations effectuées par les médecins consultés, ni l’état des connaissances professionnelles du recourant n’excluent la reprise d’une activité dans l’un des postes retenus par la CNA. Au demeurant, les activités de cariste ou aide-couvreur ont été indiquées comme adaptées à titre d’exemple, ce qui n’exclut pas l’exigibilité de l’exercice d’autres activités adaptées à son état de santé et ses connaissances professionnelles. C'est dès lors à juste titre que la CNA s'est référée aux cinq DPT qu’elle a produites pour déterminer le salaire d'une personne d'âge moyen affectée des mêmes séquelles accidentelles que le recourant et dont l'activité serait exigible en plein. Quant au revenu d'invalide fixé sur cette base pour l'année 2012 – soit 4'300 fr. par mois (part au treizième salaire incluse), il n'est pas critiquable. c) En comparant le revenu d'invalide au revenu sans invalidité, on aboutit à une incapacité de gain de 12% ([(4'900 – 4’300)/4’900] X 100), ainsi que l’a calculée l'intimée. Par conséquent, le taux de la rente d'invalidité tel que calculé par la CNA échappe à la critique.</w:t>
      </w:r>
    </w:p>
    <w:p>
      <w:r>
        <w:t>- 42 -</w:t>
      </w:r>
    </w:p>
    <w:p>
      <w:r>
        <w:rPr>
          <w:b/>
        </w:rPr>
        <w:t>E. 7</w:t>
      </w:r>
    </w:p>
    <w:p>
      <w:r>
        <w:t>Reste à examiner le bien-fondé du taux de l’indemnité pour atteinte à l’intégrité retenu par l’intimé.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w:t>
      </w:r>
    </w:p>
    <w:p>
      <w:r>
        <w:t>- 43 - entraîne pour l'assuré concerné (cf. ATF 115 V 147 consid. 1; ATF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3 del’OLAA). Pour les atteintes qui sont spéciales ou qui ne figurent pas dans la liste, il y a lieu d'appliquer le barème par analogie, en tenant compte de la gravité de l'atteinte (ch. 1 al. 2 de l'annexe 3 de l’OLAA).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I’OLAA (ATF 124 V 209 consid. 4a/cc; ATF 116 V 156 consid. 3a; RAMA 1998 n° U 296 p. 235, U 245/96 consid. 2a). L’indemnité pour atteinte à l’intégrité est allouée sous forme de prestation en capital. Elle ne doit pas excéder le montant maximum du gain annuel assuré à l’époque de l’accident (art. 25 al. 1 LAA). Elle constitue un pourcentage de ce montant, fixé sur la base du barème de l’annexe 3 de l’OLAA (cf. ch. 1 de l’annexe 3 de l’OLAA). L’indemnité est fixée en même temps que la rente d’invalidité (art. 24 al. 2 LAA). b) En l’espèce, la CNA a fixé le taux de l’indemnité pour atteinte à l’intégrité à 5% du montant maximum du gain assuré, en se fondant sur l’évaluation à laquelle le Dr R.________ a procédé dans son</w:t>
      </w:r>
    </w:p>
    <w:p>
      <w:r>
        <w:t>- 44 - rapport du 26 juin 2012. Le recourant conteste ce taux, faisant valoir qu’il ne tient pas compte de ses soufffrances physiques et de ses séquelles psychologiques particulières. S’agissant de l’atteinte à la santé psychique du recourant, c’est à juste titre que le Dr R.________ n’en a pas tenu compte pour évaluer l’atteinte à l’intégrité, dès lors que celle-ci ne se trouve pas en lien de causalité avec l’accident, comme cela a déjà été constaté (supra consid. 5a). Pour le surplus, l’appréciation du Dr R.________ est dûment motivée. Ce dernier a en effet retenu que les douleurs que le recourant présente encore à son épaule gauche correspondent à une périarthite scapulo-humérale; il dès lors fixé le taux de l’indemnité pour atteinte à l’intégrité à 5% en se fondant sur les tables d’indemnisations établies par la Division médicale de la CNA. C’est à juste titre que le Dr R.________ n’a pas tenu compte des lésions dégénératives de l’épaule, qui ne sont pas en lien de causalité avec l’accident du 1er février 2009. Par ailleurs, son évaluation tient compte des plaintes de l’assuré, a été établie en connaissance de l’anamnèse et fait suite à un examen clinique, de sorte qu’il y lieu de lui reconnaître pleine valeur probante. Le taux de l’indemnité pour atteinte à l’intégrité de 5% doit ainsi être confirmé.</w:t>
      </w:r>
    </w:p>
    <w:p>
      <w:r>
        <w:rPr>
          <w:b/>
        </w:rPr>
        <w:t>E. 8</w:t>
      </w:r>
    </w:p>
    <w:p>
      <w:r>
        <w:t>En dernier lieu, on relèvera que le dossier est complet et permet à la Cour de céans de statuer en plein connaissance de cause, de sorte qu’il n’y a pas lieu d’ordonner une instruction complémentaire sous la forme d’une expertise judiciaire, comme le requiert le recourant. Une mesure d’instruction ne serait pas de nature à modifier les considérations qui précédent, puisque les faits pertinents ont pu être établis à satisfaction de droit (appréciation anticipée des preuves, cf. ATF 122 II 464 consid. 4a; TF 8C_764/2009 du 12 octobre 2009 consid. 3.2; TF 9C _440/2008 du 5 août 2008).</w:t>
      </w:r>
    </w:p>
    <w:p>
      <w:r>
        <w:rPr>
          <w:b/>
        </w:rPr>
        <w:t>E. 9</w:t>
      </w:r>
    </w:p>
    <w:p>
      <w:r>
        <w:t>a) Vu ce qui précède, le recours, mal fondé, doit être rejeté, et la décision sur opposition attaquée confirmée.</w:t>
      </w:r>
    </w:p>
    <w:p>
      <w:r>
        <w:t>- 45 - b) Il n’y a pas lieu de percevoir de frais judiciaires, la procédure étant gratuite (art. 61 let. a LPGA). Le recourant qui succombe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