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ZA12.035654 vom 1. September 2014</w:t>
      </w:r>
    </w:p>
    <w:p>
      <w:r>
        <w:t>VD Tribunal cantonal, 2014-09-01, FR</w:t>
      </w:r>
    </w:p>
    <w:p>
      <w:r>
        <w:rPr>
          <w:b/>
        </w:rPr>
        <w:t xml:space="preserve">Quelle: </w:t>
      </w:r>
      <w:r>
        <w:t>https://mcp.opencaselaw.ch/entscheid/vd_gerichte_ZA12.035654</w:t>
      </w:r>
    </w:p>
    <w:p>
      <w:r>
        <w:t>FR: VD_GERICHTE ZA12.035654 du 1 septembre 2014</w:t>
      </w:r>
    </w:p>
    <w:p>
      <w:r>
        <w:t>IT: VD_GERICHTE ZA12.035654 del 1 settembre 2014</w:t>
      </w:r>
    </w:p>
    <w:p>
      <w:pPr>
        <w:pStyle w:val="Heading2"/>
      </w:pPr>
      <w:r>
        <w:t>Erwägungen</w:t>
      </w:r>
    </w:p>
    <w:p>
      <w:r>
        <w:rPr>
          <w:b/>
        </w:rPr>
        <w:t>E. 4</w:t>
      </w:r>
    </w:p>
    <w:p>
      <w:r>
        <w:t>novembre 2009, singulièrement eu égard à la visibilité d’une lésion du tendon du sus-épineux lors de cet examen. Le spécialiste précité a fait parvenir ses réponses comme suit le 24 juillet 2013 : « […] 1) La lésion précitée, telle qu’opérée le 18 novembre 2010, est-elle visible dans l’IRM du 4 novembre 2009 ? La lésion du tendon du sus-épineux est visible rétrospectivement (série 4 image 12, série 8 image 14). Cette lésion est très discrète, visible au maximum sur 2 coupes adjacentes de 3mm. Elle intéresse moins de la moitié de l’épaisseur du tendon du muscle sus-épineux. La bursite du même tendon est également discrète, elle a été décrite sur cet examen radiologique. Je relève encore que l’examen d’arthro-IRM a été réalisé à la recherche d’une désinsertion du labrum cartilagineux glénoïdien. L’examen a infirmé cette suspicion clinique de manière correcte. […] » Il a par ailleurs précisé que « la lésion du tendon du sus- épineux [était] à la limite de la détectabilité prospective. » Les parties ont eu l’opportunité de se déterminer sur ce nouveau document médical.</w:t>
      </w:r>
    </w:p>
    <w:p>
      <w:r>
        <w:t>- 15 - L’intimée a fait valoir, par écriture du 21 août 2013, le défaut avéré à son sens de toute lésion assimilée à un accident sur la base des observations du Prof. R.________ et d’une nouvelle appréciation de son médecin-conseil, datée du 19 août 2013, produite en annexe. Le Dr P.________ y a souligné les éléments suivants : « Le Professeur R.________ semble trouver la lésion du sus-épineux a retro sur l’IRM en fonction du résultat opératoire qu’on lui a fourni. A retro, quand on sait ce qu’on doit chercher, il est toujours plus facile de trouver ou de croire qu’on peut le voir. Cela signifie que sans cette suggestion a retro, cette lésion ne peut pas être confirmée. De plus, même si cette lésion est finalement visible à l’IRM, vu la difficulté à la mettre en évidence, elle ne peut pas être importante. En conséquence, il ne s’agit pas d’une déchirure transfixiante, mais d’une délamination superficielle dont l’origine peut être multiple, y compris avec l’introduction de l’arthroscope. » Fondée sur cet avis et sur les conclusions du Dr N.________, elle a maintenu ses conclusions tendant au rejet des recours. L’assurée s’est prononcée par courrier du même jour, relevant qu’une lésion du tendon du sus-épineux avait été démontrée, infirmant le raisonnement de Helsana Accidents SA. Elle a ainsi réitéré ses précédentes conclusions. L’employeur en a fait de même en date du 26 août 2013, insistant sur la confirmation de l’existence d’une lésion du tendon du sus- épineux, ce qui rendrait l’art. 9 al. 2 OLAA applicable au cas particulier.</w:t>
      </w:r>
    </w:p>
    <w:p>
      <w:r>
        <w:t>- 16 -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c) S’agissant de contestations relatives aux prestations de l’assurance-accidents d’un montant indéterminé, il n’est pas exclu que la valeur litigieuse soit supérieure à 30'000 fr., de sorte que les causes doivent être tranchées par la Cour composée de trois magistrats et non par un juge unique (art. 83c al. 1 LOJV [loi vaudoise d’organisation judiciaire du 12 décembre 1979 ; RSV 173.01] ; art. 94 al. 1 let. a et al. 4 LPA-VD). d) En ce qui concerne particulièrement l’assurance-accidents, la jurisprudence admet que l’employeur qui a payé les primes d’assurance et avancé le salaire d’un employé en cas d’accidents est touché par une décision contestant par exemple à ce dernier la qualité d’assuré ou niant l’existence d’un événement accidentel ; il a par conséquent un intérêt</w:t>
      </w:r>
    </w:p>
    <w:p>
      <w:r>
        <w:t>- 17 - digne de protection à la voir annulée (ATF 106 V 222 consid. 1 ; RAMA 1989 n° U 73 p. 239 consid. 1b). e) En l'espèce, la Commune de Lausanne est valablement représentée par l’adjoint du chef de son service juridique, lui-même au bénéfice d’une procuration signée par le syndic et le secrétaire municipal. Elle a indiscutablement la qualité pour agir dans la présente procédure, dans la mesure où un intérêt digne de protection à l’annulation de la décision sur opposition du 3 juillet 2012 doit lui être reconnu au sens entendu par la jurisprudence fédérale citée supra. Elle a en effet acquitté les primes d’assurance et avancé pour partie le salaire de son employée, également recourante, ayant dès lors intérêt à la poursuite de la prise en charge des suites de l’accident du 1er août 2009 au-delà du 4 novembre 2009, respectivement du 23 février 2012. Par ailleurs, les recours, interjetés en temps utile (art. 60 LPGA) devant le tribunal compétent, respectent les autres conditions de forme prévues par la loi (art. 61 let. b LPGA notamment), de sorte qu’ils sont recevables. 2. Le litige porte sur le droit de l’assurée aux prestations de l’assurance-accidents au-delà du 4 novembre 2009, singulièrement sur le point de savoir s’il existe un rapport de causalité entre les troubles existant à compter de cette date et l’événement du 1er août 2009. Se pose la question dans ce contexte d’une éventuelle atteinte à la santé assimilée à un accident en vertu de l’art. 9 al. 2 OLAA, vu les diagnostics retenus par les spécialistes ayant examiné l’assurée. a) Aux termes de l'art. 6 al. 1 LAA, si la loi n'en dispose pas autrement, les prestations d'assurance sont allouées en cas d'accident professionnel, d'accident non-professionnel et de maladie professionnelle. Est réputé accident toute atteinte dommageable, soudaine et involontaire, portée au corps humain par une cause extérieure extraordinaire qui</w:t>
      </w:r>
    </w:p>
    <w:p>
      <w:r>
        <w:t>- 18 -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w:t>
      </w:r>
    </w:p>
    <w:p>
      <w:r>
        <w:t>- 19 -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U 266/99 du 14 mars 2000 ; RAMA 1992 n° U 142 p. 75).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w:t>
      </w:r>
    </w:p>
    <w:p>
      <w:r>
        <w:t>- 20 - 28 avril 2009 consid. 2). En matière de troubles physiques, la causalité adéquate se confond pratiquement avec la causalité naturelle (TF 8C_726/2008 du 14 mai 2009 consid. 2.1 in fine et les références). d) L’assuré a droit au traitement médical approprié des lésions résultant de l’accident (art. 10 al. 1 LAA) et à une indemnité journalière s'il est totalement ou partiellement incapable de travailler à la suite d’un accident (art. 16 al. 1 LAA). e)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3. a) Aux termes de l'art. 6 al. 2 LAA, le Conseil fédéral peut inclure dans l’assurance-accidents des lésions corporelles qui sont semblables aux conséquences d’un accident. En vertu de cette délégation de compétence, le Conseil fédéral a édicté l’art. 9 al. 2 OLAA (ordonnance sur l’assurance-accidents du 20 décembre 1982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w:t>
      </w:r>
    </w:p>
    <w:p>
      <w:r>
        <w:t>- 21 - OLAA sont assimilées à un accident même si elles ont, pour l'essentiel, une origine vraisemblablement maladive ou dégénérative, pour autant qu'une cause extérieure ait, au moins, déclenché les symptômes dont souffre l'assuré (ATF 139 V 327 consid. 3.3.1 ; 129 V 466, 123 V 43 consid. 2b ; 116 V 145 consid. 2c et 114 V 298 consid. 3c). Il faut qu'un facteur extérieur soit une cause possible de la lésion, au moins à titre partiel, pour qu'une lésion assimilée à un accident soit admise (TF 8C_698/2007 du 27 octobre 2008 consid. 4.2). 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(voir par exemple l'arrêt</w:t>
      </w:r>
    </w:p>
    <w:p>
      <w:r>
        <w:t>- 22 - 8C_35/2008 du 30 octobre 2008 consid. 2.1 ; TF 8C_872/2010 du</w:t>
      </w:r>
    </w:p>
    <w:p>
      <w:r>
        <w:rPr>
          <w:b/>
        </w:rPr>
        <w:t>E. 7</w:t>
      </w:r>
    </w:p>
    <w:p>
      <w:r>
        <w:t>juillet 2011 consid. 3).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w:t>
      </w:r>
    </w:p>
    <w:p>
      <w:r>
        <w:rPr>
          <w:b/>
        </w:rPr>
        <w:t>E. 9</w:t>
      </w:r>
    </w:p>
    <w:p>
      <w:r>
        <w:t>Des considérants qui précèdent, il résulte que les recours, mal fondés, doivent être tous deux rejetés, ce qui entraîne la confirmation de la décision sur opposition attaquée. La procédure étant gratuite (cf. art. 61 let. a LPGA), il n'est pas perçu de frais de justice, ni alloué de dépens, les recourantes n’obtenant pas gain de cause (cf. art. 61 let. g LPGA).</w:t>
      </w:r>
    </w:p>
    <w:p>
      <w:r>
        <w:t>- 30 -</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