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ZA12.035543 vom 8. Mai 2017</w:t>
      </w:r>
    </w:p>
    <w:p>
      <w:r>
        <w:t>VD Tribunal cantonal, 2017-05-08, FR</w:t>
      </w:r>
    </w:p>
    <w:p>
      <w:r>
        <w:rPr>
          <w:b/>
        </w:rPr>
        <w:t xml:space="preserve">Quelle: </w:t>
      </w:r>
      <w:r>
        <w:t>https://mcp.opencaselaw.ch/entscheid/vd_gerichte_ZA12.035543</w:t>
      </w:r>
    </w:p>
    <w:p>
      <w:r>
        <w:t>FR: VD_GERICHTE ZA12.035543 du 8 mai 2017</w:t>
      </w:r>
    </w:p>
    <w:p>
      <w:r>
        <w:t>IT: VD_GERICHTE ZA12.035543 del 8 maggio 2017</w:t>
      </w:r>
    </w:p>
    <w:p>
      <w:pPr>
        <w:pStyle w:val="Heading2"/>
      </w:pPr>
      <w:r>
        <w:t>Erwägungen</w:t>
      </w:r>
    </w:p>
    <w:p>
      <w:r>
        <w:rPr>
          <w:b/>
        </w:rPr>
        <w:t>E. 1</w:t>
      </w:r>
    </w:p>
    <w:p>
      <w:r>
        <w:t>let. a LPA-VD). b) En l’espèce, déposé en temps utile compte tenu des féries estivales (art. 38 al. 4 let. b LPGA et 96 al. 1 let. b LPA-VD), auprès du</w:t>
      </w:r>
    </w:p>
    <w:p>
      <w:r>
        <w:t>- 9 - tribunal compétent, selon les formes prescrites par la loi, le recours est recevable. La valeur litigieuse étant inférieure à 30'000 fr. au vu de la durée de l’incapacité de travail subie par le recourant et du montant de l’indemnité journalière,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était fondée à opérer une réduction de moitié sur les prestations en espèces versées au recourant, au motif que ce dernier aurait pris part à une bagarre. On relèvera en revanche que la date de naissance du droit à ces prestations n’est pas contestée, ni le montant de l’indemnité journalière en tant que tel.</w:t>
      </w:r>
    </w:p>
    <w:p>
      <w:r>
        <w:rPr>
          <w:b/>
        </w:rPr>
        <w:t>E. 3</w:t>
      </w:r>
    </w:p>
    <w:p>
      <w:r>
        <w:t>a)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pouvant déroger à l’art. 21 al. 1 à 3 LPGA. Fondé sur cette norme de délégation de compétence, il a édicté l’art. 49 al. 2 let. a OLAA (ordonnance fédérale du 20 décembre 1982 sur l’assurance-accidents ; RS 832.202), qui dispose que les prestations en espèces sont réduites au moins de moitié en cas d’accident non professionnel survenu, notamment, en cas de participation à une rixe ou à</w:t>
      </w:r>
    </w:p>
    <w:p>
      <w:r>
        <w:t>- 10 - une bagarre, à moins que l’assuré ait été blessé par les protagonistes alors qu’il ne prenait aucune part à la rixe ou à la bagarre ou qu’il venait en aide à une personne sans défense.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consid. 2 ; TFA U 361/98 du 10 mars 2000 consid. 2b).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 2016, p. 1023, n. 418 et les références citées). Ainsi, un assuré n'aura-t-il droit à la totalité des prestations légales que dans la mesure où il est établi que, sans avoir au préalable joué un rôle dans le différend, il a été pris à partie par les participants (Rumo-Jungo, Die Leistungskürzung oder -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w:t>
      </w:r>
    </w:p>
    <w:p>
      <w:r>
        <w:t>- 11 - l’assureur-accidents n’est pas autorisé à réduire les prestations d’assurance. Il convient de déterminer rétrospectivement, en partant du résultat qui s’est produit, si et dans quelle mesure l’attitude de l’assuré apparaît comme une cause essentielle de l’accident. A cet égard, les diverses phases d’une rixe forment un tout et ne peuvent être considérées indépendamment l’une de l’autre (TF 8C_445/2013 du 27 mars 2014 consid. 3.1 et les références citées).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w:t>
      </w:r>
    </w:p>
    <w:p>
      <w:r>
        <w:rPr>
          <w:b/>
        </w:rPr>
        <w:t>E. 4</w:t>
      </w:r>
    </w:p>
    <w:p>
      <w:r>
        <w:t>En l’espèce, le recourant a subi une fracture à la main droite lors de l’altercation du 25 mars 2012. S’agissant du déroulement des faits, le juge pénal a retenu dans son ordonnance de classement du 26 août 2014 que, dans un premier temps, l’antagoniste de l’intéressé lui aurait reproché d’avoir abandonné son amie et sa fille et aurait fait mine de lui lancer une bouteille de vin avant de s’avancer vers lui et de le pousser en arrière avec vraisemblablement un couteau à la main et que, dans un second temps, le recourant aurait riposté, plusieurs coups de poing et de pied ayant été échangés. Lors du dépôt de sa plainte le 25 mars 2012, l’intéressé avait déclaré en substance qu’après avoir été pris à partie verbalement et l’épisode de la bouteille de vin brandie, il s’était senti menacé et s’était levé pour surveiller son opposant. A ce moment, ce dernier avait sorti une main de sa poche et l’avait poussé en arrière, puis avait sorti l’autre main de sa poche et avait fait mine de le repousser. C’est alors que, ayant vu quelque chose briller et ayant eu peur que cela soit un objet dangereux, le recourant a expliqué qu’il avait sauté sur son agresseur et l’avait frappé avec son crâne, ce qui avait eu pour effet de les faire tomber, et lui avait également donné un coup de poing au visage. Il ressort en outre du compte rendu de l’entretien téléphonique du 11 mai</w:t>
      </w:r>
    </w:p>
    <w:p>
      <w:r>
        <w:t>- 12 - 2012 entre l’intéressé et la CNA que celui-ci a déclaré qu’il avait dit à son opposant de venir d’expliquer dehors après avoir été pris à partie verbalement. Compte tenu de ces éléments, force est de constater que si le recourant ne paraît pas être à l’origine de l’altercation du 25 mars 2012, celui-ci y a pris part activement en ripostant avec véhémence aux provocations de son opposant, se mettant ainsi dans la zone de danger exclue par l’assurance. En outre, l’intéressé a déclaré dans sa plainte qu’après avoir été pris à partie verbalement dans la salle communale et se sentant menacé, il s’était levé pour « surveiller » son antagoniste, respectivement lui avait dit de venir s’expliquer dehors selon ses déclarations du 11 mai 2012. Ce faisant, le recourant s’est engagé volontairement dans l’altercation qui a précédé les actes de violences physiques, laquelle, considérée dans son ensemble et selon le cours ordinaire des choses et l’expérience de la vie, recelait le risque de commission de tels actes. Or, l’intéressé aurait pu se contenter de rester à sa place dans la salle communale en présence des autres convives malgré l’altercation verbale provoquée par son opposant, qui aurait de plus fait mine de lui lancer une bouteille de vin, voire de quitter les lieux sans demander son reste. Il s’est au contraire confronté physiquement à son adversaire, ce qui l’a mis dans une zone de danger, danger dont il pouvait raisonnablement se rendre compte. L’argument du recourant selon lequel il n’aurait fait que se défendre légitimement, en insistant sur le fait qu’il a été unilatéralement agressé et n’a jamais provoqué son agresseur, ne lui est d’aucun secours dès lors qu’il s’est mis volontairement dans une zone de danger reconnaissable. Au vu de ce qui précède, il y a lieu de considérer que le recourant a participé à une rixe ou une bagarre et que cette participation apparaît comme la cause essentielle des lésions à la main droite dont il a été victime. Les conditions d’application de l’art. 49 al. 2 let. a OLAA étant réalisées, c’est à bon droit que l’intimée a réduit de moitié les prestations</w:t>
      </w:r>
    </w:p>
    <w:p>
      <w:r>
        <w:t>- 13 - en espèces – soit en l’occurrence les indemnités journalières – dues à l’intéressé, étant précisé que la quotité de la réduction opérée n’est pas critiquable et correspond au minimum prévu par cette disposition.</w:t>
      </w:r>
    </w:p>
    <w:p>
      <w:r>
        <w:rPr>
          <w:b/>
        </w:rPr>
        <w:t>E. 5</w:t>
      </w:r>
    </w:p>
    <w:p>
      <w:r>
        <w:t>Le dossier est complet, permettant à la Cour de céans de statuer en pleine connaissance de cause. Il n'y a dès lors pas lieu de compléter l'instruction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rPr>
          <w:b/>
        </w:rPr>
        <w:t>E. 6</w:t>
      </w:r>
    </w:p>
    <w:p>
      <w:r>
        <w:t>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w:t>
      </w:r>
    </w:p>
    <w:p>
      <w:r>
        <w:t>- 14 - En l’occurrence, Me Hofstetter a produit une liste de ses opérations le 4 mai 2017, faisant état d’un temps consacré au dossier de 18 heures et 24 minutes ainsi que de débours d’un montant de 194 francs. Contrôlées au regard de la procédure, ces opérations rentrent globalement dans le cadre d’un bon accomplissement du mandat. Le montant total de l’indemnité d’office de Me Hofstetter s’élève dès lors à 3'786 fr. 45 ([18,4 heures x 180 fr.] + 194 fr. + TVA 8%). La rémunération du conseil d'office est provisoirement supportée par le canton, le recourant étant rendu attentif au fait qu'il est tenu de rembourser ce montant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juge unique p r o n o n c e : I. Le recours est rejeté. II. La décision sur opposition rendue le 25 juillet 2012 par la Caisse nationale suisse d'assurance en cas d'accidents est confirmée. III. L’indemnité d’office de Me Gilles-Antoine Hofstetter est arrêtée à 3'786 fr. 45 (trois mille sept cent huitante-six francs et quarante-cinq centimes), TVA et débours compris. IV. Le bénéficiaire de l’assistance judiciaire est, dans la mesure de l’art. 123 CPC, applicable par renvoi de l’art. 18 al. 5 LPA-VD,</w:t>
      </w:r>
    </w:p>
    <w:p>
      <w:r>
        <w:t>- 15 - tenu au remboursement de l’indemnité du conseil d’office mis à la charge de l’Etat. V. Il n’est pas perçu de frais judiciaires ni alloué de dépens. La juge unique : Le greffier :</w:t>
      </w:r>
    </w:p>
    <w:p>
      <w:r>
        <w:t>- 16 - Du L'arrêt qui précède est notifié à : - Me Gilles-Antoine Hofstetter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