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ZA12.034525 vom 27. Oktober 2015</w:t>
      </w:r>
    </w:p>
    <w:p>
      <w:r>
        <w:t>VD Tribunal cantonal, 2015-10-27, FR</w:t>
      </w:r>
    </w:p>
    <w:p>
      <w:r>
        <w:rPr>
          <w:b/>
        </w:rPr>
        <w:t xml:space="preserve">Quelle: </w:t>
      </w:r>
      <w:r>
        <w:t>https://mcp.opencaselaw.ch/entscheid/vd_gerichte_ZA12.034525</w:t>
      </w:r>
    </w:p>
    <w:p>
      <w:r>
        <w:t>FR: VD_GERICHTE ZA12.034525 du 27 octobre 2015</w:t>
      </w:r>
    </w:p>
    <w:p>
      <w:r>
        <w:t>IT: VD_GERICHTE ZA12.034525 del 27 ottobre 2015</w:t>
      </w:r>
    </w:p>
    <w:p>
      <w:pPr>
        <w:pStyle w:val="Heading2"/>
      </w:pPr>
      <w:r>
        <w:t>Erwägungen</w:t>
      </w:r>
    </w:p>
    <w:p>
      <w:r>
        <w:rPr>
          <w:b/>
        </w:rPr>
        <w:t>E. 7</w:t>
      </w:r>
    </w:p>
    <w:p>
      <w:r>
        <w:t>S’impose dès lors l’examen des critères jurisprudentiels énumérés sous considérant 3.5 supra pour se prononcer sur la causalité adéquate entre les troubles psychiques présentés par l’assurée et l’accident incriminé. On soulignera ici que le lien de causalité adéquate ne peut être considéré comme rempli que si au moins trois critères sont effectivement réunis dans le cas d’espèce (cf. TF 8C_897/2009 du 29 janvier 2010 consid. 4.5).</w:t>
      </w:r>
    </w:p>
    <w:p>
      <w:r>
        <w:rPr>
          <w:b/>
        </w:rPr>
        <w:t>E. 7.1</w:t>
      </w:r>
    </w:p>
    <w:p>
      <w:r>
        <w:t>S’agissant des circonstances concomitantes particulièrement dramatiques ou du caractère particulièrement impressionnant de l’accident, ce critère a été nié dans l’examen du degré de gravité de l’événement du 17 novembre 2007. On réitérera ici l’absence de circonstances concomittantes dramatiques malgré l’intervention des pompiers nécessitée pour des raisons sans lien avec l’événement lui- même. Quant au caractère particulièrement impressionnant de l’accident, il faut souligner qu’un accident de gravité moyenne présente toujours un certain caractère impressionnant pour la personne qui en est victime, ce qui ne suffit pas à l’admission de sa réalisation (cf. notamment concernant ce critère : TF 8C_78/2013 du 19 décembre 2013 consid. 4.3.2).</w:t>
      </w:r>
    </w:p>
    <w:p>
      <w:r>
        <w:rPr>
          <w:b/>
        </w:rPr>
        <w:t>E. 7.2</w:t>
      </w:r>
    </w:p>
    <w:p>
      <w:r>
        <w:t>Il convient également de nier que le critère de la gravité des lésions physiques soit réalisé en l’espèce, dans la mesure où les traitements dispensés, singulièrement les interventions chirurgicales effectuées, ont permis à l’assurée de conserver l’intégrité de son membre supérieur et de récupérer une bonne mobilité. Par ailleurs, la recourante dispose de l’usage de sa main dominante, contrairement à ce qu’elle soutient, en dépit de limitations fonctionnelles liées essentiellement à des travaux de force avec le bras droit.</w:t>
      </w:r>
    </w:p>
    <w:p>
      <w:r>
        <w:rPr>
          <w:b/>
        </w:rPr>
        <w:t>E. 7.3</w:t>
      </w:r>
    </w:p>
    <w:p>
      <w:r>
        <w:t>Quant à la durée du traitement médical, l’on ne saurait considérer ce dernier anormalement long, dans la mesure où l’on ne peut</w:t>
      </w:r>
    </w:p>
    <w:p>
      <w:r>
        <w:t>- 41 - retenir que l’assurée ait été astreinte à un traitement particulièrement lourd ou contraignant. Elle a certes subi deux interventions chirurgicales, lesquelles se sont déroulées sans complications, mais a essentiellement poursuivi des séances de physiothérapie et d’ergothérapie, ce qui n’apparaît pas particulièrement pénible, ni anormal au vu des lésions consécutives à l’accident en cause (cf. également concernant ce critère : TF 8C_175/2010 du 14 février 2011 consid. 5.4).</w:t>
      </w:r>
    </w:p>
    <w:p>
      <w:r>
        <w:rPr>
          <w:b/>
        </w:rPr>
        <w:t>E. 7.4</w:t>
      </w:r>
    </w:p>
    <w:p>
      <w:r>
        <w:t>Par ailleurs, au vu des conclusions des spécialistes en chirurgie ayant examiné ou pris en charge l’assuré, les Drs M.________, J.________ et A.________, ainsi que les experts de la Clinique W.________, on ne peut prendre en compte des douleurs physiques persistantes importantes qui auraient des répercussions susbstantielles sur la vie quotidienne, en l’absence de substrat organique expliquant les plaintes alléguées. La recourante a au surplus été considérée comme apte à la reprise d’une activité lucrative à plein temps, dans le respect des restrictions imposées à son membre supérieur, ce qui exclut manifestement une incidence majeure des suites de l’accident du 17 novembre 2007 sur la vie quotidienne. Il est enfin rappelé qu’elle ne présente que des limitations peu contraignantes dans l’usage de sa main (essentiellement pour des travaux en force du poignet et comportant le port de charges), dont l’intégrité et la mobilité ont été parfaitement conservées.</w:t>
      </w:r>
    </w:p>
    <w:p>
      <w:r>
        <w:rPr>
          <w:b/>
        </w:rPr>
        <w:t>E. 7.5</w:t>
      </w:r>
    </w:p>
    <w:p>
      <w:r>
        <w:t>En outre, n’apparaît dans le dossier de l’intimé aucune mention d’erreurs dans le traitement médical qui auraient entraîné une aggravation des séquelles de l’accident, ce dont la recourante ne se prévaut d’ailleurs pas.</w:t>
      </w:r>
    </w:p>
    <w:p>
      <w:r>
        <w:rPr>
          <w:b/>
        </w:rPr>
        <w:t>E. 7.6</w:t>
      </w:r>
    </w:p>
    <w:p>
      <w:r>
        <w:t>L’assurée ne peut davantage arguer de difficultés apparues en cours de guérison et de complications importantes, l’AMO réalisée par le Dr T.________ demeurant sans impact significative sur sa capacité à exercer une activité lucrative. Quant aux interventions évoquées par ce praticien, ainsi qu’il a été relevé, il ne s’agit pas de mesures à proprement parler thérapeutiques, mais plutôt destinées à soulager subjectivement la recourante.</w:t>
      </w:r>
    </w:p>
    <w:p>
      <w:r>
        <w:t>- 42 -</w:t>
      </w:r>
    </w:p>
    <w:p>
      <w:r>
        <w:rPr>
          <w:b/>
        </w:rPr>
        <w:t>E. 7.7</w:t>
      </w:r>
    </w:p>
    <w:p>
      <w:r>
        <w:t>Enfin, il n’y a pas lieu de prendre en considération une incapacité de travail de degré et de durée anormale en lien avec les lésions strictement physiques consécutives à l’accident du 17 novembre 2007.</w:t>
      </w:r>
    </w:p>
    <w:p>
      <w:r>
        <w:rPr>
          <w:b/>
        </w:rPr>
        <w:t>E. 7.8</w:t>
      </w:r>
    </w:p>
    <w:p>
      <w:r>
        <w:t>Au vu de l’analyse ci-dessus, l’on se doit de constater qu’aucun des critères dégagés par la jurisprudence pour reconnaître un lien de causalité adéquate entre les troubles psychiques présentés par l’assurée et l’accident précité n’est réalisé en l’espèce. Partant, c’est à bon droit que la CNA a mis un terme à ses prestations dès le 31 août 2011. Point n’est au surplus besoin d’examiner la question de la causalité naturelle, l’absence de lien de causalité adéquate suffisant à exclure le droit aux prestations de l’assurance-accidents au-delà du 31 août 2011. Compte tenu de ce qui précède, l’intimée était fondée à considérer que le statu quo sine vel ante a été atteint au plus tard à cette dernière date, en l’absence de lien de causalité entre les troubles psychiques et l’accident en cause.</w:t>
      </w:r>
    </w:p>
    <w:p>
      <w:r>
        <w:rPr>
          <w:b/>
        </w:rPr>
        <w:t>E. 7.9</w:t>
      </w:r>
    </w:p>
    <w:p>
      <w:r>
        <w:t>Indépendamment de ce qui précède, on se doit de relever que les informations communiquées par Mme K.________, ayant assumé le suivi psychologique de l’assurée jusqu’en 2012, sont empreintes d’éléments sans lien direct avec l’accident, telles que les difficultés conjugales de la recourante, ainsi que ses soucis eu égard à ses perspectives professionnelles et assécurologiques (cf. rapports des 18 mars 2009 à la CNA et à l’OAI, 24 août 2009 et 14 mars 2010 à la CNA). Ces facteurs sont également évoqués par le Dr M.________ dans son rapport d’examen du 5 mai 2010, où il relève un « contexte social laborieux ». Le Dr E.________, aux termes de son rapport d’expertise du 6 août 2013, a pour sa part expressément corroboré et écarté ces éléments de son appréciation, au vu de leur caractère extra-médical, non sans rejoindre l’appréciation diagnostique de la psychologue, au détriment de celle de la Dresse</w:t>
      </w:r>
    </w:p>
    <w:p>
      <w:r>
        <w:t>- 43 - P.________. Quant à la capacité de travail de l’assurée, l’expert mandaté par l’OAI a estimé que celle-ci s’avérait entière au plus tard dès octobre 2011, en tenant compte d’un épisode incapacitant tout au plus depuis le séjour de la recourante à la Clinique W.________. Compte tenu de ces observations et de la prépondérance de facteurs extra-médicaux dans le survenance des problèmes psychologiques passagers de l’assurée, on ne peut que réitérer le défaut de lien de causalité entre lesdits problèmes et l’accident du 17 novembre 2007.</w:t>
      </w:r>
    </w:p>
    <w:p>
      <w:r>
        <w:rPr>
          <w:b/>
        </w:rPr>
        <w:t>E. 8</w:t>
      </w:r>
    </w:p>
    <w:p>
      <w:r>
        <w:t>Il se justifie dès lors de se prononcer sur la rente allouée à l’assurée dès le 1er septembre 2011 selon décision du 31 octobre 2011, confirmée sur opposition le 22 juin 2012.</w:t>
      </w:r>
    </w:p>
    <w:p>
      <w:r>
        <w:rPr>
          <w:b/>
        </w:rPr>
        <w:t>E. 8.1</w:t>
      </w:r>
    </w:p>
    <w:p>
      <w:r>
        <w:t>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8.2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w:t>
      </w:r>
    </w:p>
    <w:p>
      <w:r>
        <w:t>- 44 - Seules les conséquences de l'atteinte à la santé sont prises en compte pour juger de la présence d'une incapacité de gain; de plus, il n'y a incapacité de gain que si celle-ci n'est pas objectivement surmontable (art. 7 al. 2 LPGA). On rappellera en outre que la notion d'invalidité est, en principe, identique en matière d'assurance-accidents, d'assurance- 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 TFA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w:t>
      </w:r>
    </w:p>
    <w:p>
      <w:r>
        <w:t>- 45 - V 288 consid. 3d ; TF 9C_813/2012 du 18 mars 2013 consid. 3.4).</w:t>
      </w:r>
    </w:p>
    <w:p>
      <w:r>
        <w:rPr>
          <w:b/>
        </w:rPr>
        <w:t>E. 8.3</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 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w:t>
      </w:r>
    </w:p>
    <w:p>
      <w:r>
        <w:t>- 46 - 222 ; TF 9C_254/2010 du 29 octobre 2010 consid. 4.2).</w:t>
      </w:r>
    </w:p>
    <w:p>
      <w:r>
        <w:rPr>
          <w:b/>
        </w:rPr>
        <w:t>E. 8.4</w:t>
      </w:r>
    </w:p>
    <w:p>
      <w:r>
        <w:t>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l’intimée a obtenu les données concrètes de l’ancien employeur de l’assurée, C.________SA, qui a communiqué un revenu hypothétique annuel de 52'904 fr. réalisable par l’assurée en 2011, sans atteinte à la santé. Il n’y pas lieu de s’écarter de ces renseignements, en dépit des arguments avancés par l’assurée dans le cadre de son recours contre la décision de l’OAI, par lesquels elle a sollicité une évaluation à la hausse de son revenu sans invalidité. Singulièrement, on ne voit que des perspectives d’avancement concrètes eussent été démontrées dans le présent cas, ni que l’assurée eût pris des dispositions spécifiques en vue de la poursuite d’une formation professionnelle supérieure. On observera d’ailleurs que la rémunération communiquée par C.________SA fait état d’un revenu annuel sensiblement supérieur aux gains antérieurs effectivement réalisées par la recourante depuis son arrivée en Suisse. La CNA a dès lors retenu à juste titre le salaire mensuel de 4’408 fr. au titre de revenu sans invalidité, ce qui correspond à la jurisprudence fédérale précitée et doit en conséquence être confirmé.</w:t>
      </w:r>
    </w:p>
    <w:p>
      <w:r>
        <w:t>- 47 -</w:t>
      </w:r>
    </w:p>
    <w:p>
      <w:r>
        <w:rPr>
          <w:b/>
        </w:rPr>
        <w:t>E. 8.5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établies par la CNA (ATF 135 V 297 consid. 5.2 et 129 V 472 consid. 4.2.1 ; TF 8C_287/2010 du 18 novembre 2010 consid. 3). Dans un tel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(ATF 128 V 29 consid. 1). C’est pourquoi la jurisprudence impose, en cas de recours aux DPT, la production d’au moins cinq d’entre elles (ATF 129 V 472 consid. 4.2.2 ; TF 8C_809/2008 du 19 juin 2009 consid. 4.2.2 et 8C_4/2008 du 25 juin 2008 consid. 3.2). En l'occurrence, dans la mesure où la recourante n’a pas repris une activité lucrative conforme à l’exigibilité médicale fixée à 100%, la CNA était en droit de recourir aux DPT pour établir le revenu d'invalide. Il s’agit ainsi de déterminer si les cinq DPT sélectionnées par l’intimée sont adaptées à la situation spécifique de l’assurée.</w:t>
      </w:r>
    </w:p>
    <w:p>
      <w:r>
        <w:rPr>
          <w:b/>
        </w:rPr>
        <w:t>E. 8.5.1</w:t>
      </w:r>
    </w:p>
    <w:p>
      <w:r>
        <w:t>S’agissant de la DPT 9644, il apparaît que cette activité de collaboratrice de production implique le contrôle de la bienfacture de pièces composant des plaquettes de fraisage et tournage en vue de l’élimination de celles comportant des défauts. L’activité s’effectue à l’œil nu et au moyen d’un binoculaire. Elle ne comporte aucun port de charges, ni de maniement d’objets, quand bien même un usage des deux mains est requis, et s’avère essentiellement sédentaire. L’on ne voit aucune contre-indication à l’exercice de cet emploi, un tel poste étant à l’évidence strictement compatible avec les limitations retenues sur le plan médical.</w:t>
      </w:r>
    </w:p>
    <w:p>
      <w:r>
        <w:t>- 48 -</w:t>
      </w:r>
    </w:p>
    <w:p>
      <w:r>
        <w:rPr>
          <w:b/>
        </w:rPr>
        <w:t>E. 8.5.2</w:t>
      </w:r>
    </w:p>
    <w:p>
      <w:r>
        <w:t>Il en va de même de l’activité de collaboratrice de production décrite par la DPT 8926, où les réquisits du poste en question rejoignent pour l’essentiel ceux indiqués dans la DPT 9644. En effet, l’employée procède au contrôle de condensateurs en position assise, sans aucun port de charges, ni maniement d’objets, ni même usage des deux mains.</w:t>
      </w:r>
    </w:p>
    <w:p>
      <w:r>
        <w:rPr>
          <w:b/>
        </w:rPr>
        <w:t>E. 8.5.3</w:t>
      </w:r>
    </w:p>
    <w:p>
      <w:r>
        <w:t>Eu égard à la DPT 438186, relative également à un poste de collaboratrice de production, l’on relève qu’il s’agit d’une activité visant à charger et décharger une machine automatique, ainsi qu’à mettre des petites pièces en boîte. Ce poste requiert parfois le maniement d’objets fins ou le port de charges inférieures à 5kg, ainsi que l’usage des deux mains, sans toutefois être astreignant au niveau de la force ou de la précision requise. Vu ce descriptif, une telle activité est également accessible à la recourante au regard de ses restrictions fonctionnelles.</w:t>
      </w:r>
    </w:p>
    <w:p>
      <w:r>
        <w:rPr>
          <w:b/>
        </w:rPr>
        <w:t>E. 8.5.4</w:t>
      </w:r>
    </w:p>
    <w:p>
      <w:r>
        <w:t>La DPT 10405 concerne une activité de réceptionniste. Cette activité semi-sédentaire n’implique qu’un port de charges très légères. La collaboratrice procède à l’accueil des clients, à des réservations par ordinateur, à la location de matériel et à des opérations comptables. Le poste impose également une surveillance des installations et la gestion de leur disponibilité. Une telle description ne comporte aucune tâche contre- indiquée médicalement dans le cas de l’assurée, de sorte qu’elle doit être considérée comme pleinement adaptée à son état de santé.</w:t>
      </w:r>
    </w:p>
    <w:p>
      <w:r>
        <w:rPr>
          <w:b/>
        </w:rPr>
        <w:t>E. 8.5.5</w:t>
      </w:r>
    </w:p>
    <w:p>
      <w:r>
        <w:t>Quant à la DPT 11554, elle correspond à un poste de collaboratrice de production où sont effectués des contrôles volumétriques de pipettes et de doseurs à l’aide d’une balance. Cet emploi ne comprend jamais de port de charges, à l’inverse de maniement d’objets légers. Elle s’exerce essentiellement en position assise. Les éléments contenus dans cette DPT permettent également de constater l’adéquation de l’activité concernée avec les restrictions médicales relevées auprès de la recourante.</w:t>
      </w:r>
    </w:p>
    <w:p>
      <w:r>
        <w:t>- 49 -</w:t>
      </w:r>
    </w:p>
    <w:p>
      <w:r>
        <w:rPr>
          <w:b/>
        </w:rPr>
        <w:t>E. 8.5.6</w:t>
      </w:r>
    </w:p>
    <w:p>
      <w:r>
        <w:t>Il est en définitive incontestable que les cinq DPT retenues par la CNA sont compatibles avec l'état de santé de la recourante, dans la mesure exposée ci-dessus. En outre, elles satisfont aux conditions formelles posées par la jurisprudence (cf. ATF 129 V 472). C'est dès lors à juste titre que la CNA s'est référée aux cinq DPT produites pour déterminer le salaire réalisable par la recourante à plein temps, compte tenu des séquelles de l’accident du 17 novembre 2007. Le revenu d'invalide fixé sur ces bases, soit 3’885 fr. par mois réalisable en moyenne en 2011 n'est donc pas critiquable.</w:t>
      </w:r>
    </w:p>
    <w:p>
      <w:r>
        <w:rPr>
          <w:b/>
        </w:rPr>
        <w:t>E. 8.6</w:t>
      </w:r>
    </w:p>
    <w:p>
      <w:r>
        <w:t>En comparant le revenu d'invalide (3’885 fr.) au revenu sans invalidité (4’408 fr.), on met effectivement à jour un degré d’invalidité de 11,86%, arrondi à 12%, tel que calculé par l'intimée. Par conséquent, la décision de la CNA d’octroyer une rente d’invalidité à ce taux échappe à la critique. Il en va de même d’ailleurs s’agissant du montant de la rente mensuelle corrélative que l’assurée ne remet pas spécifiquement en question.</w:t>
      </w:r>
    </w:p>
    <w:p>
      <w:r>
        <w:rPr>
          <w:b/>
        </w:rPr>
        <w:t>E. 8.7</w:t>
      </w:r>
    </w:p>
    <w:p>
      <w:r>
        <w:t>Par surabondance, il s’agit d’observer que la détermination alternative du revenu d’invalide au moyen des ESS n’aboutirait pas un résultat plus favorable à la recourante. En matière LAA, il est en effet possible, mais non impératif, de recourir aux ESS pour déterminer le revenu d’invalide dans le cas où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 TF I 7/2006 du 12 janvier 2007 consid. 5.2 ; Pratique VSI 1999 p. 182).</w:t>
      </w:r>
    </w:p>
    <w:p>
      <w:r>
        <w:t>- 50 -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 6 février 2009 consid. 3). In casu, il conviendrait de se fonder sur le tableau TA1 de l’ESS 2010 indiquant un revenu mensuel de 4'225 fr. réalisable par une femme sans qualifications professionnelles requises dans les secteurs de la production et des services. Le montant annuel correspondant serait de 53’367 fr. du fait d’un horaire hebdomadaire moyen de 41,7 heures en 2011 et après actualisation au moyen de l’indice suisse des salaires nominaux (cf. OFS / La Vie économique, n°1/2-2014, tableaux B 9.2 et B 10.3). Quant à l’abattement qui devrait être opéré sur le montant précité, on peut constater qu’une réduction de 10% apparaîtrait adéquate dans le cas de l’assurée, pour tenir compte des restrictions fonctionnelles de son membre supérieur dominant. En revanche, il n’y aurait pas lieu de retenir de problèmes particuliers d’adaptation ou quelconque souci linguistique, cette assurée jeune s’avérant bien intégrée en Suisse et dotée d’une bonne maîtrise du français. Par ailleurs, des problèmes psychosociaux ou d’ordre linguistique ne constituent pas des critères à prendre en considération (cf. ATF 107 V 17 consid. 2c ; TF 9C_382/2007 du</w:t>
      </w:r>
    </w:p>
    <w:p>
      <w:r>
        <w:rPr>
          <w:b/>
        </w:rPr>
        <w:t>E. 13</w:t>
      </w:r>
    </w:p>
    <w:p>
      <w:r>
        <w:t>novembre 2007 consid 4.3 et 6.5 ; TFA U 443/05 du 26 janvier 2006 consid. 2.2 in fine).On ajoutera que le TA1 des ESS, dans des activités de niveau 4, auquel l’on se réfèrerait en l’espèce, englobe une large palette d’activités simples et répétitives, ne requérant pas de compétences</w:t>
      </w:r>
    </w:p>
    <w:p>
      <w:r>
        <w:t>- 51 - professionnelles particulières, ce qui exclut la prise en compte d’un niveau de formation éventuellement insuffisant. Le montant déterminant serait en définitive de 48'030 francs. La comparaison d’un tel revenu d’invalide annuel avec le revenu hypothétique sans invalidité de 54'902 fr. mettrait à jour un degré d’invalidité inférieur à celui retenu par la CNA, à savoir de 9,2%. Vu ce qui précède, on confirmera le degré d’invalidité et la rente allouée par la CNA selon ses décision du 31 octobre 2011 et décision sur opposition du 22 juin 2012. 9. En dernier lieu, il s’impose d’examiner la quotité de l’IPAI octroyée par la CNA, à concurrence d’un taux de 7,5%. 9.1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 D'après l'art. 25 al. 1 LAA, l'indemnité pour atteinte à l'intégrité est allouée sous forme de prestation en capital ; elle ne doit pas</w:t>
      </w:r>
    </w:p>
    <w:p>
      <w:r>
        <w:t>- 52 - excéder le montant maximum du gain annuel assuré à l'époque de l'accident et elle est échelonnée selon la gravité de l'atteinte à l'intégrité. 9.2 Faisant notamment usage d'une délégation de compétence prévue à l'art. 25 al. 2 LAA, le Conseil fédéral a édicté l'art. 36 OLAA (ordonnance du 20 décembre 1982 sur l'assurance-accidents ; RS 832.202).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9.3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w:t>
      </w:r>
    </w:p>
    <w:p>
      <w:r>
        <w:t>- 53 -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9.4 En l’occurrence, la CNA a fixé à 7,5% le degré de l’indemnité pour atteinte à l’intégrité, se basant sur l’appréciation purement somatique du Dr N.________ du 17 juin 2011. Ce faisant, ce médecin s’est fondé sur la Table 1 des barèmes d’indemnisation des atteintes à l’intégrité, édictés par la CNA, laquelle prévoit une IPAI de 15% pour une arthrodèse radio-carpienne. Il a tenu compte d’une « perte fonctionnelle en flexion-extension », engendrant des difficultés de mobilité d’environ 50% pour fixer dès lors une IPAI de 7,5%. Ce raisonnement et ses fondements ne peuvent qu’être ici confirmés, tandis que les considérations de la recourante dans ce contexte apparaissent hors de proportion au regard des atteintes à la santé</w:t>
      </w:r>
    </w:p>
    <w:p>
      <w:r>
        <w:t>- 54 - diagnostiquées des suites de l’accident du 17 novembre 2007. En effet, celle-ci estime que la Table 3 des barèmes d’indemnisation des atteintes à l’intégrité devrait être utilisée, soit celle relative à la perte d’un ou de plusieurs segments des membres supérieurs. Elle renvoie notamment au cas de la perte d’une main, indemnisé à hauteur de 45% pour conclure à l’octroi d’une IPAI de 30%. Tel n’est à l’évidence pas comparable à son propre cas, puisqu’elle a conservé l’intégrité de son membre supérieur droit, sous réserve d’une perte fonctionnelle limitée de son poignet. Les griefs de l’assurée ne peuvent en conséquence qu’être écartés s’agissant de son droit à l’IPAI et la décision de l’intimée à cet égard maintenue. La recourante n’a au surplus pas soulevé de grief à l’encontre du montant de l’IPAI correspondant à l’indemnisation de 7,5%, lequel ne prête au demeurant pas flanc à la critique. 10. Il résulte de l’ensemble des éléments qui précèdent que le recours, entièrement mal fondé, doit être rejeté et la décision entreprise confirmée. 10.1 Le présent arrêt est rendu sans frais (cf. art. 61 let. a LPGA ; 45 LPA-VD), ni allocation de dépens dès lors que la recourante, assistée d’un mandataire professionnel pour la défense de ses intérêts, n’obtient pas gain de cause (cf. art. 61 let. g LPGA ; art. 55 LPA-VD). 10.2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 VD).</w:t>
      </w:r>
    </w:p>
    <w:p>
      <w:r>
        <w:t>- 55 -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Olivier Carré (art. 118 al. 1 let. c CPC, applicable par renvoi de l'art. 18 al. 5 LPA-VD). Elle a par ailleurs décidé unilatéralement de mettre fin à ce mandat dès le 21 février 2015, Me Carré en ayant formellement été libéré par le juge instructeur selon la correspondance du 8 avril 2015. Le 21 février 2015, Me Carré a produit le relevé des opérations effectuées dans le cadre de la présente procédure. La liste corrélative comprend toutefois une partie des démarches effectuées en faveur de l’assurée dans le cadre de la procédure introduite contre l’OAI sous numéro de cause AI 185/14, lesquelles sont prises en compte dans l’arrêt corrélatif. On observe également des opérations vraisemblablement afférentes à la procédure en responsabilité civile envisagée contre C.________SA, lesquelles doivent être retranchées de la présente affaire (cf. p. ex. différents courriers à l’employeur précité, notamment les 7 octobre 2012, 12 novembre 2013 ou 27 décembre 2013). Par ailleurs sont indiquées des correspondances téléphoniques avec des médecins et des intervenants non impliqués dans le litige opposant l’assurée à la CNA par devant la Cour de céans qu’il n’y pas lieu</w:t>
      </w:r>
    </w:p>
    <w:p>
      <w:r>
        <w:t>- 56 - d’indemniser (cf. p. ex. conférences téléphoniques des 11 ou 21 novembre 2013). Enfin, les correspondances adressées suite à la résiliation du mandat de l’avocat, à l’exception de celle expédiée à la Cour de céans, ainsi que les opérations en lien avec la reconnaissance de dette que Me Carré a fait parvenir à sa cliente, n’ont pas à être prises en considération dans le contexte de la présente procédure. Une reconnaissance de dette ne pouvait par ailleurs pas être requise pendant le mandat d’office pour les opérations effectuées dans ce contexte. La liste des opérations effectuées par Me Carré doit en conséquence être réduite pour respecter les limites matérielles fixées par la décision du juge instructeur du 28 août 2012, soit en ne retenant que les opérations effectuées dans le cadre du recours entamé contre la décision sur opposition de la CNA du 22 juin 2012. Il s’agit en définitive de prendre en compte les opérations effectuées par Me Carré à hauteur d’un total de 22 heures et 59 minutes au tarif horaire de 180 fr., soit 4’137 francs (art. 2 al. 1 let. a RAJ [règlement cantonal vaudois du 7 décembre 2010 sur l'assistance judiciaire civile ; RSV 211.02.3]). A ce montant s’ajoutent les débours arrondis à 500 fr. et la TVA au taux de 8%, ce qui représente un montant total de 5’008 fr. pour l'ensemble de l'activité déployée dans la présente cause. Cette indemnité est provisoirement supportée par le canton, la recourante étant rendu attentive au fait qu’elle est tenu de rembourser ce dernier montant dès qu’elle sera en mesure de le faire (art. 123 al. 1 CPC,</w:t>
      </w:r>
    </w:p>
    <w:p>
      <w:r>
        <w:rPr>
          <w:b/>
        </w:rPr>
        <w:t>E. 18</w:t>
      </w:r>
    </w:p>
    <w:p>
      <w:r>
        <w:t>al. 5 LPA-VD). Il incombera au Service juridique et législatif de fixer les modalités dudit remboursement (art. 5 RAJ).</w:t>
      </w:r>
    </w:p>
    <w:p>
      <w:r>
        <w:t>- 57 -</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