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ZA12.023812 vom 16. April 2013</w:t>
      </w:r>
    </w:p>
    <w:p>
      <w:r>
        <w:t>VD Tribunal cantonal, 2013-04-16, FR</w:t>
      </w:r>
    </w:p>
    <w:p>
      <w:r>
        <w:rPr>
          <w:b/>
        </w:rPr>
        <w:t xml:space="preserve">Quelle: </w:t>
      </w:r>
      <w:r>
        <w:t>https://mcp.opencaselaw.ch/entscheid/vd_gerichte_ZA12.023812</w:t>
      </w:r>
    </w:p>
    <w:p>
      <w:r>
        <w:t>FR: VD_GERICHTE ZA12.023812 du 16 avril 2013</w:t>
      </w:r>
    </w:p>
    <w:p>
      <w:r>
        <w:t>IT: VD_GERICHTE ZA12.023812 del 16 aprile 2013</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w:t>
      </w:r>
    </w:p>
    <w:p>
      <w:r>
        <w:t>- 14 -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S'agissant d'une contestation relative aux prestations de l'assurance- 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b) En l'espèce, le recours a été interjeté en temps utile auprès du tribunal compétent et respecte pour le surplus les formalités prévues par la loi (art. 61 let. b LPGA notamment), de sorte qu'il convient d'entrer en matière.</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b) En l’espèce, le litige porte sur le point de savoir si l’intimée était fondée, par sa décision sur opposition du 22 mai 2012, à mettre un terme au droit du recourant à des prestations d’assurance à partir du 1er janvier 2011 et à nier le droit à une indemnité pour atteinte à l'intégrité.</w:t>
      </w:r>
    </w:p>
    <w:p>
      <w:r>
        <w:rPr>
          <w:b/>
        </w:rPr>
        <w:t>E. 3</w:t>
      </w:r>
    </w:p>
    <w:p>
      <w:r>
        <w:t>a) Aux termes de l'art. 6 al. 1 LAA, si la loi n'en dispose pas autrement, les prestations d'assurance sont allouées en cas d'accident</w:t>
      </w:r>
    </w:p>
    <w:p>
      <w:r>
        <w:t>- 15 -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 b) Selon la jurisprudence relative aux prestations accordées selon la LAA en cas d'accident professionnel ou non professionnel (cf. art.</w:t>
      </w:r>
    </w:p>
    <w:p>
      <w:r>
        <w:rPr>
          <w:b/>
        </w:rPr>
        <w:t>E. 6</w:t>
      </w:r>
    </w:p>
    <w:p>
      <w:r>
        <w:t>Il découle de ce qui précède que le recours doit être rejeté, ce qui entraîne la confirmation de la décision attaquée. Le présent arrêt sera rendu sans frais (art. 61 let. a LPGA; art. 45 LPA-VD), ni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