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ZA12.012466 vom 7. August 2013</w:t>
      </w:r>
    </w:p>
    <w:p>
      <w:r>
        <w:t>VD Tribunal cantonal, 2013-08-07, FR</w:t>
      </w:r>
    </w:p>
    <w:p>
      <w:r>
        <w:rPr>
          <w:b/>
        </w:rPr>
        <w:t xml:space="preserve">Quelle: </w:t>
      </w:r>
      <w:r>
        <w:t>https://mcp.opencaselaw.ch/entscheid/vd_gerichte_ZA12.012466</w:t>
      </w:r>
    </w:p>
    <w:p>
      <w:r>
        <w:t>FR: VD_GERICHTE ZA12.012466 du 7 août 2013</w:t>
      </w:r>
    </w:p>
    <w:p>
      <w:r>
        <w:t>IT: VD_GERICHTE ZA12.012466 del 7 agosto 2013</w:t>
      </w:r>
    </w:p>
    <w:p>
      <w:pPr>
        <w:pStyle w:val="Heading2"/>
      </w:pPr>
      <w:r>
        <w:t>Erwägungen</w:t>
      </w:r>
    </w:p>
    <w:p>
      <w:r>
        <w:rPr>
          <w:b/>
        </w:rPr>
        <w:t>E. 1</w:t>
      </w:r>
    </w:p>
    <w:p>
      <w:r>
        <w:t>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les autres conditions de forme prévues par la loi (art. 61 let. b LPGA notamment), de sorte qu’il est recevable.</w:t>
      </w:r>
    </w:p>
    <w:p>
      <w:r>
        <w:t>- 9 -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confirmé par TF 9C_441/2008 du 10 juin 2009 consid. 2.1). b) Le litige porte sur le droit du recourant à bénéficier, au-delà du 20 septembre 2011, de prestations de l’assurance-accidents. Il s’agit particulièrement de déterminer s'il subsiste un lien de causalité naturelle et adéquate entre les atteintes à la santé présentées par le recourant et l'événement assuré du 7 avril 2010.</w:t>
      </w:r>
    </w:p>
    <w:p>
      <w:r>
        <w:rPr>
          <w:b/>
        </w:rPr>
        <w:t>E. 3</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w:t>
      </w:r>
    </w:p>
    <w:p>
      <w:r>
        <w:t>- 10 -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 seul fait que des symptômes douloureux ne se soient manifestés qu'après la survenance d'un accident ne suffit pas à établir un rapport de causalité naturelle avec cet accident (raisonnement "post hoc, ergo propter hoc"; cf. ATF 119 V 335 consid. 2b/bb; TF 8C_42/2009 du 1er octobre 2009, consid. 2.2).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appliquée généralement à l'appréciation des preuves dans l'assurance sociale (ATF 119 V 337 consid. 1; 118 V 289 consid. 1b et les références citées; TFA U 177/02 du 15 juin 2004 consid. 3 et la référence citée).</w:t>
      </w:r>
    </w:p>
    <w:p>
      <w:r>
        <w:t>- 11 - b)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TF 8C_124/2007 du 20 mai 2008 consid. 2.2 et les références). Ainsi, la première question à résoudre est celle de savoir si les caractéristiques d'un traumatisme de type "coup du lapin" ont été diagnostiquées dans un cas d'espèce. Le tableau clinique caractéristique retenu par la jurisprudence à ce propos fait état des plaintes suivantes: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1er février 2010 consid. 6.1 et les références). Enfin, le mécanisme accidentel doit être propre à provoquer de tels troubles (cf. ATF 117 V 359 consid. 4b; Jean- Michel Duc, La jurisprudence des assurances sociales concernant les traumatismes cervicaux, RSAS 2008 p. 58).</w:t>
      </w:r>
    </w:p>
    <w:p>
      <w:r>
        <w:rPr>
          <w:b/>
        </w:rPr>
        <w:t>E. 4</w:t>
      </w:r>
    </w:p>
    <w:p>
      <w:r>
        <w:t>a)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w:t>
      </w:r>
    </w:p>
    <w:p>
      <w:r>
        <w:t>- 12 - 2009 consid. 2). En matière de troubles physiques, la causalité adéquate se confond pratiquement avec la causalité naturelle (cf. TF 8C_726/2008 du 14 mai 2009 consid. 2.1 in fine et les références). b)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cranio-cérébral. En effet, lorsque l’existence d’un tel traumatisme est établie, il faut, si l’accident est de gravité moyenne, examiner le caractère adéquat du lien de causalité en se fondant sur les critères énumérés aux ATF 117 V 359 consid. 6a et 369 consid. 4b, sans qu’il soit décisif de savoir si les troubles dont est atteint l’assuré sont plutôt de nature somatique ou psychique (ATF 117 V 359 consid. 6a, dernier paragraphe; RAMA 1999 n° U 341 p. 408 sv. consid. 3b). En revanche, dans les autres cas, l’examen du caractère adéquat du lien de causalité doit se faire, pour un accident de gravité moyenne, sur la base des critères énumérés aux ATF 115 V 133 consid. 6c/aa et 403 consid. 5c/aa. Si les lésions appartenant spécifiquement au tableau clinique des suites d’un traumatisme de type “coup du lapin” à la colonne cervicale, d’un traumatisme analogue ou d’un traumatisme cranio- cérébral, bien qu’en partie établies, sont toutefois reléguées au second plan en raison de l'existence d'un problème important de nature psychique, ce sont les critères énumérés aux ATF 115 V 133 consid. 6c/aa et 403 consid. 5c/aa qui doivent fonder l’appréciation de la causalité adéquate (ATF 123 V 98 consid. 2a). La jurisprudence a posé plusieurs critères en vue de juger du caractère adéquat du lien de causalité entre un accident et les troubles d’ordre psychique développés ensuite par la victime (cf. TF U 18/07 du 7 février 2008 consid. 3.2). Elle a tout d’abord classé les accidents en trois catégories, en fonction de leur déroulement, à savoir les accidents insignifiants ou de peu de gravité (par exemple une chute banale), les</w:t>
      </w:r>
    </w:p>
    <w:p>
      <w:r>
        <w:t>- 13 -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w:t>
      </w:r>
    </w:p>
    <w:p>
      <w:r>
        <w:t>- 14 - des troubles psychiques de l'assuré soit admis (cf. ATF 115 V 133 consid. 6c/aa et 403 consid. 5c/aa).</w:t>
      </w:r>
    </w:p>
    <w:p>
      <w:r>
        <w:rPr>
          <w:b/>
        </w:rPr>
        <w:t>E. 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 cf.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w:t>
      </w:r>
    </w:p>
    <w:p>
      <w:r>
        <w:t>- 15 - Par ailleurs,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(TFA U 492/00 du 31 juillet 2001 consid. 3d; cf. également TF 9C_794/2008 du 21 août 2009 consid. 2.3). Finalement,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w:t>
      </w:r>
    </w:p>
    <w:p>
      <w:r>
        <w:rPr>
          <w:b/>
        </w:rPr>
        <w:t>E. 6</w:t>
      </w:r>
    </w:p>
    <w:p>
      <w:r>
        <w:t>En l'occurrence, le recourant soutient que les troubles dont il souffre actuellement sont encore en lien de causalité naturelle et adéquate avec l’accident du 7 avril 2010. L’intimée quant à elle est d’avis que le rapport de causalité a cessé d’exister au-delà du 20 septembre 2011. a) Les différents médecins interpellés ont reconnu que le recourant avait probablement subi un traumatisme cranio-cérébral simple sans preuve d’une lésion objectivable. Le Dr F.________ a expliqué que le recourant l'avait consulté à la suite de son traumatisme crânien, en raison de céphalées et de troubles de la sensibilité persistants, et que les céphalées et les douleurs du membre supérieur droit étaient certainement en relation avec le traumatisme crânien. Quant au Dr W.________, il a indiqué que le recourant avait probablement eu un traumatisme crânien simple. Les CT-Scan des 7 et 13 avril 2010 et les IRM des 10 et 24 septembre 2010 n’ont pas révélé de lésion cérébrale ou d’hémorragie. Selon le Dr F.________, aucune atteinte du système nerveux central ni lésion cérébrale ou hémorragie n’a pu être constatée et l’examen</w:t>
      </w:r>
    </w:p>
    <w:p>
      <w:r>
        <w:t>- 16 - neurologique était dans les limites de la norme. Le Dr G.________ a indiqué en septembre 2010 que l’IRM n’avait pas permis de mettre en évidence de lésion permettant d’expliquer la symptomatologie que présentait le patient. Selon le Dr Q.________, aucun diagnostic précis n’a été posé et le Dr W.________ a affirmé que la chute qu’a faite l’assuré le 7 avril 2010 n’avait entraîné aucune lésion structurelle. Le dossier médical ne relevant pas d’atteintes structurelles traumatiques de l’accident du 7 avril 2010, aucun déficit structurel organique ne permet de justifier les plaintes alléguées par le recourant. Il est dès lors nécessaire d’examiner si ce dernier présente un tableau clinique typique d’un traumatisme de type "coup du lapin". Le recourant a développé certains des symptômes qui font partie du tableau typique des traumatismes cervicaux et cranio-cervicaux, à savoir des céphalées (hémicrânies droites), des nausées, des sono-photophobies, des troubles sensitifs hémicorporels et des troubles dépressifs. Ainsi, le Dr V.________ a expliqué en février 2012 que les crises douloureuses du recourant se produisaient avec une fréquence et une intensité qui augmentaient au fil du temps et dans des circonstances de plus en plus nombreuses, non seulement dans les situations où le patient était sous stress mais aussi notamment en cas de forte lumière ou de bruits. Néanmoins, en ce qui concerne les hémicrânies à caractéristiques migraineuses, elles ont été considérées comme atypiques par le Dr G.________, les migraines post- traumatiques survenant le plus souvent dans un contexte d’anciennes migraines, dont le recourant ne souffrait pas avant l’accident. Par ailleurs, il ne ressort pas clairement du dossier que les troubles précités soient apparus dans les 72 heures après l’accident. Quant au mécanisme accidentel, on peut difficilement admettre qu’il ait été propre à provoquer l’intensité des troubles dont souffre le recourant. En effet, le fait de heurter sa tête à l’occasion d’une chute de hauteur d’homme au lavabo puis au WC n’a provoqué qu’une entaille de 1,5 cm et vraisemblablement un traumatisme cranio-cérébral simple. Si le rapport de causalité naturelle a pu être admis durant une certaine période consécutive à l’accident, il ressort des appréciations</w:t>
      </w:r>
    </w:p>
    <w:p>
      <w:r>
        <w:t>- 17 - médicales ci-dessus que la composante psychique des troubles du recourant est importante et qu’elle préexistait à l’accident. On peut donc se demander si le statu quo ante vel sine n’était pas largement atteint à la date du 20 septembre 2011, soit un an et demie après l’accident. Il est à relever que le médecin d’arrondissement de la CNA, le Dr W.________, a déclaré en février 2012 que la chute ne pouvait plus être mise en rapport avec quelque symptomatologie somatique que ce soit, au plus tard six semaines après avoir eu lieu et que l’étiologie de la symptomatologie devait être recherchée ailleurs. Cependant, la question de savoir si les plaintes persistantes alléguées par le recourant sont en lien de causalité naturelle avec l’accident peut demeurer indécise, l’existence d’un lien de causalité adéquate devant de toute manière être niée, comme il est démontré dans ce qui suit. b) S’agissant de l’examen de la causalité adéquate, il résulte du dossier médical que les troubles ressentis par le recourant consécutivement à l’accident, soit les hémicrânies et les troubles sensitifs, ont été rapidement accompagnés par des troubles d’ordre psychique croissants, lesquels préexistaient à l’accident. Rapidement, une discordance a été constatée par les médecins intervenants entre les observations médicales et l’étendue des plaintes émises par l’intéressé. Une prise en charge sur le plan psychique a été effectuée, le recourant ayant séjourné à l’hôpital psychiatrique de [...] consécutivement à l’accident, puis à nouveau d’avril à juin 2011. En juin 2010 le Dr F.________ a précisé que les douleurs de l’assuré étaient vraisemblablement aussi en relation avec son état psychologique. Dans son rapport du 3 septembre 2010, le Dr G.________ a indiqué que le recourant souffrait depuis plusieurs années d’un état dépressif. En août 2011, le Dr O.________ était d’avis que la cause de l’incapacité de travail du recourant était d’origine maladive (état anxio-dépressif). Il ressort des deux rapports du 27 février 2012 du Dr V.________ que le recourant était suivi depuis 2002 par un psychiatre et pour une décompensation anxieuse et dépressive. Le spécialiste a également indiqué que l’incapacité de travail du recourant était due à une cause d’origine maladive.</w:t>
      </w:r>
    </w:p>
    <w:p>
      <w:r>
        <w:t>- 18 - L’ampleur des troubles et leur répercussion sur la capacité de travail n’ont pas trouvé d’explication claire, aux yeux des médecins, dont les médecins traitants du recourant, dans les seules suites de l’événement accidentel, des facteurs étrangers jouant un rôle significatif dans l’évolution du cas. La surcharge psychogène a très certainement déterminé l’étendue des troubles et leur répercussion sur la capacité de travail. Les conséquences de l’événement accidentel relativement mineur ont donc été majorées par des facteurs psychiques étrangers à l’accident. Etant donné qu’il s’agit de se prononcer sur l’obligation de l’intimée de prendre en charge, au-delà du 20 septembre 2011, les troubles persistant décrits ci-dessus, il convient donc de faire application de la jurisprudence relative aux troubles du développement psychique (cf. consid 4b supra). c) En l’occurrence, l’accident du 7 avril 2010 doit à l’évidence être classé parmi les accidents de gravité moyenne, à la limite inférieure proche des accidents de peu de gravité. En effet, il n’y a pas eu de caractère particulièrement impressionnant de l’accident, ni de circonstances particulièrement dramatiques. Il s’agit d’une chute de hauteur d’homme, au domicile du recourant. Son hospitalisation subséquente était principalement liée à son état d’épuisement et non à l’accident lui-même. Quant aux atteintes subies, soit un traumatisme crânien simple avec une blessure à l’arcade sourcilière de 1,5 cm, ils ne sauraient être qualifiées d’atteintes graves à la santé. Le dossier d’imagerie médicale n’a pas permis de révéler de lésion ou hémorragie et l’examen neurologique était dans les limites de la norme. Les troubles ressentis par le recourant, soit les céphalées et les troubles sensitifs ne sont pas non plus d’une gravité telle qu’ils aient été de nature à entraîner des troubles psychiques. Il n’y a pas non plus eu d’erreur dans le traitement médical entraînant une aggravation notable des séquelles de l’accident, ni de complications importantes. Par ailleurs, on ne saurait parler de durée anormalement longue du traitement médical et de persistance des douleurs physiques induits par le seul trouble physique, soit la plaie à l’arcade sourcilière. En ce qui concerne les céphalées et les troubles sensitifs dont on ne doute nullement de leur ressenti par le recourant, les deux critères précités doivent être relativisés en l’espèce.</w:t>
      </w:r>
    </w:p>
    <w:p>
      <w:r>
        <w:t>- 19 - En effet, les plaintes sont atypiques, suggestives d’une composante psychogène aux troubles présentés. De surcroît, les douleurs varient en intensité, en fonction du stress, de la lumière ou du bruit auxquels est soumis le recourant comme l’indique le Dr V.________ dans son rapport du 27 février 2012. Quant au dernier critère, celui de la durée de l’incapacité de travail due aux lésions physiques, ce dernier n’est pas rempli. En effet, le recourant a repris le travail à mi-temps au terme d’une période de deux mois après l’accident. Ainsi que cela a été explicité ci-dessus, l’arrêt de toute activité à la fin du mois d'août 2010 doit être mis en relation avec la composante psychogène des troubles du recourant. Tant le Dr O.________ que le Dr V.________, tous deux médecins traitants du recourant, ont indiqué que la cause de l’incapacité de travail de leur patient était d’origine maladive. Par conséquent, eu égard à l’ensemble des circonstances du cas, aucun des critères examinés ne peut être considéré comme réalisé à un degré d’intensité suffisant tel qu’exigé par la jurisprudence, dès lors qu’il ressort notamment clairement des rapports médicaux qu’il existe notamment une discordance importante entre les plaintes exprimées et les données objectives constatées. L’existence d’un lien de causalité adéquate entre l’accident du 7 avril 2010 et les troubles présentés au-delà du 20 septembre 2011 n’étant pas donnée, c’est à juste titre que l’intimée a mis un terme à ses prestations.</w:t>
      </w:r>
    </w:p>
    <w:p>
      <w:r>
        <w:rPr>
          <w:b/>
        </w:rPr>
        <w:t>E. 7</w:t>
      </w:r>
    </w:p>
    <w:p>
      <w:r>
        <w:t>Le dossier sur lequel se fonde l’appréciation du médecin de la CNA, le Dr W.________, contient suffisamment d’appréciations médicales, dont celles du Dr G.________, établies sur la base d’un examen personnel du recourant. Par conséquent, l’absence d’un examen personnel effectué par la CNA ne permet pas en soi de douter de son appréciation. Par ailleurs, les pièces versées subséquemment au dossier, dont les pièces de l'assurance-invalidité, sont autant d’appréciations médicales établies sur la base d’un examen concret. En outre, on ne peut nullement leur dénier, au vu de leur contenu et de leur nombre, le fait qu’ils constituent une étude circonstanciée et complète de l’évolution de l’état du recourant sous l’angle médical. Par conséquent, la mise en oeuvre d’une expertise ou la</w:t>
      </w:r>
    </w:p>
    <w:p>
      <w:r>
        <w:t>- 20 - production de nouvelles pièces n’apporteraient vraisemblablement aucune constatation nouvelle. L’instruction étant complète sur le plan médical, il n’y a pas lieu de donner suite à la requête du recourant tendant à la mise en oeuvre d’une expertise.</w:t>
      </w:r>
    </w:p>
    <w:p>
      <w:r>
        <w:rPr>
          <w:b/>
        </w:rPr>
        <w:t>E. 8</w:t>
      </w:r>
    </w:p>
    <w:p>
      <w:r>
        <w:t>En définitive, le recours, mal fondé, doit être rejeté, ce qui entraîne la confirmation de la décision attaquée rendue par la CNA. La procédure étant gratuite (art. 61 let. a LPGA), il n’est pas perçu de frais de justice, ni alloué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