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ZA12.011608 vom 21. Juni 2013</w:t>
      </w:r>
    </w:p>
    <w:p>
      <w:r>
        <w:t>VD Tribunal cantonal, 2013-06-21, FR</w:t>
      </w:r>
    </w:p>
    <w:p>
      <w:r>
        <w:rPr>
          <w:b/>
        </w:rPr>
        <w:t xml:space="preserve">Quelle: </w:t>
      </w:r>
      <w:r>
        <w:t>https://mcp.opencaselaw.ch/entscheid/vd_gerichte_ZA12.011608</w:t>
      </w:r>
    </w:p>
    <w:p>
      <w:r>
        <w:t>FR: VD_GERICHTE ZA12.011608 du 21 juin 2013</w:t>
      </w:r>
    </w:p>
    <w:p>
      <w:r>
        <w:t>IT: VD_GERICHTE ZA12.011608 del 21 giugno 2013</w:t>
      </w:r>
    </w:p>
    <w:p>
      <w:pPr>
        <w:pStyle w:val="Heading2"/>
      </w:pPr>
      <w:r>
        <w:t>Erwägungen</w:t>
      </w:r>
    </w:p>
    <w:p>
      <w:r>
        <w:rPr>
          <w:b/>
        </w:rPr>
        <w:t>E. 4</w:t>
      </w:r>
    </w:p>
    <w:p>
      <w:r>
        <w:t>a) Conformément à un principe général du droit des assurances sociales, l'administration (ou l'assureur) peut reconsidérer une décision formellement passée en force et sur laquelle une autorité judiciaire ne s'est pas prononcée quant au fond, à condition qu'elle soit manifestement erronée et que sa rectification revête une importance notable (art. 53 al. 2 LPGA; ATF 133 V 50 consid. 4.1 p. 52; 119 V 475 consid. 1b/cc p. 479; 116 V 62 consid. 3a p. 62). Pour juger s'il est admissible de reconsidérer une décision, il faut se fonder sur la situation juridique existant au moment où cette décision a été rendue, compte tenu de la pratique en vigueur à l'époque (ATF 125 V 383 consid. 3 p. 389 et les références citées).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119 V 475 consid. 1b/cc p. 479; 117 V 8 consid. 2a p. 12; TF 9C_447/2007 du 10 juillet 2008 consid. 1; Ueli Kieser, ATSG-Kommentar, 2ème éd., no 44 ad art. 53). Une administration refuse d'entrer en matière sur une demande de reconsidération lorsqu'elle se borne à procéder à un examen sommaire de la requête et répète les motifs invoqués dans la décision initiale (ATF 117 V 8 consid. 2b/aa p.14; TF 8C_866/2009 du 27 avril 2010 consid. 2.2).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p. 479; 117 V 8 consid. 2a p. 13; 116 V 62 consid.</w:t>
      </w:r>
    </w:p>
    <w:p>
      <w:r>
        <w:t>- 16 - 3a p. 63; TF 9C_447/2007 du 10 juillet 2008 consid. 1; Kieser, op. cit., no 44 ad art. 53). Par le biais de la reconsidération, on corrigera une application initiale erronée du droit, de même qu'une constatation des faits erronée résultant de l'appréciation des preuves (ATF 117 V 8 consid. 2c p. 17; 115 V 308 consid. 4a/cc p. 314). L'irrégularité doit être manifeste, de manière à éviter que la reconsidération devienne un instrument autorisant sans autre limitation un nouvel examen des conditions à la base des prestations de longue durée. Par exemple, une inexactitude manifeste ne saurait être admise lorsque l'octroi de la prestation dépend des conditions matérielles dont l'examen suppose un pouvoir d'appréciation, quant à certains de leurs aspects ou de leurs éléments, et que la décision initiale est admissible compte tenu de la situation de fait et de droit. S'il subsiste des doutes raisonnables sur le caractère erroné de la décision initiale, cela ne suffit pas pour admettre que les conditions de la reconsidération sont remplies (TF 9C_709/2012 du 27 novembre 2012 consid. 2.1; SVR 2009 UV n 6 p. 21, TF U 5/07 du 9 janvier 2008 consid. 5.3.1; TF I 907/06 du 7 mai 2007 consid. 3.2.1). b) Les prestations d’assurance sont également versées en cas de rechutes et de séquelles tardives (art. 11 OLAA [ordonnance du 20 décembre 1982 sur l'assurance 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citées; TF 8C_596/2007 du 4 février 2008 consid. 3). Il y a également rechute ou séquelle tardive si, auparavant, le traitement médical avait permis d'obtenir une relative stabilisation de l'état de santé, au point qu'il n'y</w:t>
      </w:r>
    </w:p>
    <w:p>
      <w:r>
        <w:t>- 17 - avait plus lieu d'attendre de ce traitement une amélioration sensible de cet état de santé (TF 8C_1023/2008 du 1er décembre 2009 consid. 6.1). Il incombe à l'assuré d'établir, au degré de vraisemblance prépondérante, l'existence d'un rapport de causalité entre l'état pathologique qui se manifeste à nouveau et l'accident (TF 8C_895/2011 du</w:t>
      </w:r>
    </w:p>
    <w:p>
      <w:r>
        <w:rPr>
          <w:b/>
        </w:rPr>
        <w:t>E. 7</w:t>
      </w:r>
    </w:p>
    <w:p>
      <w:r>
        <w:t>Le recourant invoque encore la protection de sa bonne foi. a) Découlant directement de l'art. 9 Cst. (Constitution fédérale du 18 avril 1999;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636; 129 I 161 consid. 4.1 p. 170; 128 II 112 consid. 10b/aa p. 125; 126 II 377 consid. 3a p. 387 et les arrêts cités). Le principe de la bonne foi, consacré à l'art. 5 al. 3 Cst., interdit notamment aux organes de l'Etat et aux administrés d'user les uns envers les autres de procédés déloyaux et d'abuser manifestement de leurs droits. L'administration doit s'abstenir de toute attitude propre à tromper les administrés et elle ne saurait tirer avantage des conséquences d'une incorrection ou d'une insuffisance de sa part (Claude Rouiller, Protection contre l'arbitraire et protection de la bonne foi, in Droit constitutionnel suisse, Daniel Thürer / Jean-François Aubert / Jörg-Paul Müller [éditeurs], Zurich, 2001, p. 686).</w:t>
      </w:r>
    </w:p>
    <w:p>
      <w:r>
        <w:t>- 22 - Une décision ou un renseignement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637; 129 I 161 consid. 4.1 p. 170; 122 II 113 consid. 3b/cc p. 123 et les références citées). Le droit à la protection de la bonne foi peut aussi être invoqué en présence, simplement, d'un comportement d'une administration susceptible d'éveiller chez l'administré une attente ou une espérance légitime (ATF 129 II 361 consid. 7.1 p. 381 et les références citées). b) Le recourant ne saurait déduire du courrier du 24 mars 2011 une promesse de prise en charge illimitée de la balnéothérapie et des consultations médicales y relatives, car l’intimée avait précisé dans ce courrier que la prise en charge était "sans engagement pour l’avenir et jusqu’à nouvel avis". En outre, le recourant ne prétend pas avoir pris, sur la base de ce courrier, des dispositions auxquelles il ne saurait renoncer sans subir de préjudice. L’intimée n’a donc pas contrevenu au principe de la bonne foi en mettant un terme à la prise en charge du traitement médical de l'assuré à compter du 12 décembre 2011.</w:t>
      </w:r>
    </w:p>
    <w:p>
      <w:r>
        <w:rPr>
          <w:b/>
        </w:rPr>
        <w:t>E. 8</w:t>
      </w:r>
    </w:p>
    <w:p>
      <w:r>
        <w:t>Vu ce qui précède, le recours doit être rejeté, ce qui entraîne la confirmation de la décision entreprise. Le présent arrêt sera rendu sans frais (art. 61 let. a LPGA) ni allocation de dépens (art. 61 let. g LPGA). Par ces motifs,</w:t>
      </w:r>
    </w:p>
    <w:p>
      <w:r>
        <w:t>- 23 - la Cour des assurances sociales p r o n o n c e : I. Le recours est rejeté. II. La décision sur opposition rendue le 23 février 2012 par la Caisse nationale suisse d'assurance en cas d'accidents est confirmée. III. Il n'est pas perçu de frais judiciaires, ni alloué de dépens. Le président : Le greffier : Du L'arrêt qui précède, dont la rédaction a été approuvée à huis clos, est notifié à : - Me Charles Munoz, avocat à Yverdon-les-Bains (pour Z.________)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- 24 -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