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ZA11.049087 vom 7. Juni 2012</w:t>
      </w:r>
    </w:p>
    <w:p>
      <w:r>
        <w:t>VD Tribunal cantonal, 2012-06-07, FR</w:t>
      </w:r>
    </w:p>
    <w:p>
      <w:r>
        <w:rPr>
          <w:b/>
        </w:rPr>
        <w:t xml:space="preserve">Quelle: </w:t>
      </w:r>
      <w:r>
        <w:t>https://mcp.opencaselaw.ch/entscheid/vd_gerichte_ZA11.049087</w:t>
      </w:r>
    </w:p>
    <w:p>
      <w:r>
        <w:t>FR: VD_GERICHTE ZA11.049087 du 7 juin 2012</w:t>
      </w:r>
    </w:p>
    <w:p>
      <w:r>
        <w:t>IT: VD_GERICHTE ZA11.049087 del 7 giugno 2012</w:t>
      </w:r>
    </w:p>
    <w:p>
      <w:pPr>
        <w:pStyle w:val="Heading2"/>
      </w:pPr>
      <w:r>
        <w:t>Erwägungen</w:t>
      </w:r>
    </w:p>
    <w:p>
      <w:r>
        <w:rPr>
          <w:b/>
        </w:rPr>
        <w:t>E. 1</w:t>
      </w:r>
    </w:p>
    <w:p>
      <w:r>
        <w:t>Les dispositions de la LPGA (loi fédérale du 6 octobre 2000 sur la partie générale du droit des assurances sociales, RS 830.1) s'appliquent à l'assurance-accidents (art. 1 al. 1 LAA [loi fédérale du 20 mars 1981 sur l'assurance-accidents, RS 832.20]). Les décisions sur opposition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et respecte les formalités prévues par loi (art. 61 let. b LPGA notamment), de sorte qu'il est recevable.</w:t>
      </w:r>
    </w:p>
    <w:p>
      <w:r>
        <w:rPr>
          <w:b/>
        </w:rPr>
        <w:t>E. 2</w:t>
      </w:r>
    </w:p>
    <w:p>
      <w:r>
        <w:t>a) Dans le cas présent, la contestation porte sur l'évaluation de la capacité de travail dans une activité adaptée et sur le calcul du degré d'invalidité. aa) Aux termes de l'art. 6 al. 1 LAA, si la loi n'en dispose pas autrement, les prestations d'assurance sont allouées en cas d'accident professionnel, d'accident non professionnel et de maladie professionnelle.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119 V 335 consid. 1).</w:t>
      </w:r>
    </w:p>
    <w:p>
      <w:r>
        <w:t>- 10 -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129 V 177 consid. 3.1). bb)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cc) Pour pouvoir fixer le degré d'invalidité, l'administration - en cas de recours, le tribunal - se base sur des documents médicaux, le cas échéant, des documents émanant d'autres spécialistes pour prendre position. La tâche du médecin consiste à évaluer l'état de santé de la</w:t>
      </w:r>
    </w:p>
    <w:p>
      <w:r>
        <w:t>- 11 -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w:t>
      </w:r>
    </w:p>
    <w:p>
      <w:r>
        <w:t>- 12 - valeur probante à l'appréciation émise par un médecin de la CNA, aussi longtemps qu'aucun indice concret ne permet de douter de son bien-fondé (ATF 125 V 351 consid. 3b/bb; TF 8C_862/2008 du 19 août 2009 consid. 4.2).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TFA I 554/01 du 19 avril 2002 consid. 2a).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(appréciation anticipée des preuves encore offertes) ne viole pas le droit d'être entendu (ATF 124 V 90 consid. 4b; 122 V 157 consid. 1d; TF 8C_764/2009 du 12 octobre 2009 consid. 3.2 et les références citées). dd)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w:t>
      </w:r>
    </w:p>
    <w:p>
      <w:r>
        <w:t>- 13 -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129 V 472 consid. 4.2.1). Dans ce cas,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C’est pourquoi la jurisprudence impose, en cas de recours aux DPT, la production d’au moins cinq d’entre eux (ATF 129 V 472 consid. 4.2.2; TF 8C_809/2008 du 19 juin 2009 consid. 4.2.2; TF 8C_4/2008 du 25 juin 2008 consid. 3.2). S'agissant de la condition selon laquelle l'activité exercée doit mettre pleinement en valeur la capacité de travail résiduelle de l'assuré, il convient de rappeler que l'obligation de limiter le préjudice subi, qui est un principe général du droit des assurances sociales, contraint l'assuré à mettre en oeuvre tout ce qu'on peut raisonnablement attendre de lui pour atténuer les conséquences de son accident, fût-ce au prix d'un effort important, avant de solliciter des prestations (ATF 123 V 86 consid. 4c;</w:t>
      </w:r>
    </w:p>
    <w:p>
      <w:r>
        <w:t>- 14 - 113 V 22 consid. 4a; TF 9C_578/2009 du 29 décembre 2009 consid. 4.2.2; TF 9C_1043/2008 du 2 juillet 2009 consid. 3.1). b) En l'espèce, l'assuré a été victime d'un accident le 7 juillet 2008, ayant occasionné une fracture ouverte du pilon tibial droit, une fracture-tassement de la vertèbre L3, une entorse du poignet droit, un arrachement d'un fragment osseux du calcanéum gauche ainsi qu'une lésion au premier, deuxième et troisième métatarsiens gauches. Les rapports médicaux figurant au dossier, notamment ceux de la CRR et du CHUV, se référent surtout aux problèmes des membres inférieurs, notamment aux douleurs ressenties par l'assuré. Quant à la fracture de la vertèbre L3, elle a été considérée comme stable et traitée conservativement (rapport de la CRR du 31 octobre 2008). aa) D'un point de vue médical, il n'est pas établi que les lombalgies, survenues postérieurement (cf. notamment rapport du 11 novembre 2010 du Dr P.________ et rapport du 14 décembre 2011 de la Dresse F.________), résultent de l'accident du 7 juillet 2008. En effet, il n'y a eu qu'une seule fracture vertébrale consécutive à l'accident, à savoir en L3. Les atteintes aux autres vertèbres ont été signalées à l'issue du troisième séjour à la CRR, les Drs D.________ et W.________ ayant évoqué une fracture de l'apophyse épineuse de D1 et tassement du plateau supérieur de D3 et D5 il y a environ 15 ans (rapport du 11 octobre 2010). Contrairement à ce que soutient le recourant, l'accident litigieux n'a donc pas causé de fractures aux vertèbres D3, D4 et D5. Dès lors, pour apprécier uniquement les conséquences de l'accident du 7 juillet 2008, l'avis de la Dresse F.________ – qui se fonde sur les douleurs dorsales et lombaires secondaires aux fractures vertébrales pour justifier une capacité de travail de 50% – ne saurait être déterminant, car ce médecin se base non seulement sur la fracture de la vertèbre L3 subie lors de l'accident du</w:t>
      </w:r>
    </w:p>
    <w:p>
      <w:r>
        <w:rPr>
          <w:b/>
        </w:rPr>
        <w:t>E. 7</w:t>
      </w:r>
    </w:p>
    <w:p>
      <w:r>
        <w:t>juillet 2008 mais également sur les fractures aux vertèbres précédemment subies par l'assuré. En outre, la Dresse F.________ ne se fonde pas sur d'autres constatations objectives que celles, notamment, du médecin</w:t>
      </w:r>
    </w:p>
    <w:p>
      <w:r>
        <w:t>- 15 - d'arrondissement de la CNA et des médecins de la CRR, lesquels se sont prononcés sur l'évolution de l'état de santé de l'intéressé sur une longue période. En tant que médecin traitant de l'assuré, l'avis de la Dresse F.________ au sujet de la capacité de travail doit par ailleurs être apprécié avec les réserves d'usage. Si le Dr P.________ a retenu que "l'atteinte du pied droit est incontestablement grave", comme le relève le recourant, ce médecin n'en a pas moins relevé que l'impossibilité à le mettre en charge était inexplicable, de sorte que l'état douloureux devait être mis en bonne partie sur le compte de facteurs non médicaux, et n'empêchait pas de retenir une pleine capacité de travail dans une activité adaptée (rapport du 26 novembre 2010). Enfin, le fait que l'assuré, pendant son dernier séjour à la CRR, a effectué des travaux en ateliers n'ayant pas excédé 4 heures par jour ne saurait être assimilé sans autre à une capacité de travail résiduelle de 50%. Dès lors, selon l'appréciation du médecin d'arrondissement de la CNA – rejointe par celle des médecins de la CRR, et qui emporte valeur probante – il y a lieu de retenir que l'assuré présente une capacité de travail de 100% dans une activité adaptée, à savoir sans marche prolongée ou sur terrains irréguliers, sans montée-descente d'escaliers ou d'échelles, sans position accroupie ou à genoux et sans port de charges de plus de 15 kilos. Le recourant ne se prévaut pas d'une affection psychique résultant de l'accident du 7 juillet 2008. A ce sujet, on relèvera que d'éventuels troubles ne sauraient être à la charge de la CNA, faute d'un rapport de causalité adéquate avec cet accident – qui doit être qualifié comme étant de gravité moyenne – selon les critères en la matière posés par la jurisprudence (ATF 115 V 403 consid. 5c/aa; 115 V 133 consid. 6). bb) Du point de vue économique, le recourant se prévaut d'un revenu d'invalide selon les statistiques nationales de l'ESS, alors que la CNA a fixé ce même revenu en se référant aux DPT, soit à des éléments de comparaison concrets. Il n'y a pas de priorité entre la méthode des DPT et celle fondée sur l'ESS (ATF 129 V 472 consid. 4.2.1; TF 8C_738/2011 consid. 8), de sorte que le recours aux DPT pour fixer le revenu d'invalide n'est pas critiquable. Le recourant ne remet pas en cause le choix des</w:t>
      </w:r>
    </w:p>
    <w:p>
      <w:r>
        <w:t>- 16 - DPT, qui en l'occurrence paraissent adaptés à son état de santé et à ses limitations fonctionnelles, de sorte que le revenu d'invalide fixé à 50'560 fr. (selon le rapport de la CNA du 28 avril 2011) doit être retenu. Par ailleurs, il n'y a pas lieu de procéder à une réduction en cas de recours à des DPT car celles-ci prennent déjà en considération la situation particulière de l'assuré. Plus précisément, lorsque le revenu d'invalide est déterminé sur la base des DPT, une réduction du salaire, eu égard au système même des DPT, n'est ni justifiée ni admissible (ATF 129 V 472 consid. 4.2.3; TF 8C_715/2008 du 16 mars 2009 consid. 4.3). Le revenu hypothétique sans accident de 59'800 fr. retenu par la CNA correspond aux indications de l'employeur. Il n'y a pas lieu d'opérer un parallélisme ou une parallélisation entre les revenus avec et sans invalidité, telle que cette méthode est appliquée par la jurisprudence, en matière d'assurance-invalidité dans certains cas (ATF 135 V 297; 134 V 322 consid. 4.1), dès lors que l'assuré semble s'être contenté d'un salaire modeste et que le revenu d'invalide a été déterminé selon la méthode des DPT et non selon l'ESS. La comparaison du revenu d'invalide de 50'560 fr. avec le revenu sans accident de 59'800 fr. conduit à un taux de 15%. cc) Partant, le recours doit être rejeté et la décision attaquée confirmée. 3. La procédure étant gratuite (art. 61 let. a LPGA), il n'y a pas lieu de percevoir de frais judiciaires. Vu l'issue du litige, le recourant, qui succombe, n'a pas droit à l'octroi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