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ZA11.034588 vom 19. Oktober 2012</w:t>
      </w:r>
    </w:p>
    <w:p>
      <w:r>
        <w:t>VD Tribunal cantonal, 2012-10-19, FR</w:t>
      </w:r>
    </w:p>
    <w:p>
      <w:r>
        <w:rPr>
          <w:b/>
        </w:rPr>
        <w:t xml:space="preserve">Quelle: </w:t>
      </w:r>
      <w:r>
        <w:t>https://mcp.opencaselaw.ch/entscheid/vd_gerichte_ZA11.034588</w:t>
      </w:r>
    </w:p>
    <w:p>
      <w:r>
        <w:t>FR: VD_GERICHTE ZA11.034588 du 19 octobre 2012</w:t>
      </w:r>
    </w:p>
    <w:p>
      <w:r>
        <w:t>IT: VD_GERICHTE ZA11.034588 del 19 ottobre 2012</w:t>
      </w:r>
    </w:p>
    <w:p>
      <w:pPr>
        <w:pStyle w:val="Heading2"/>
      </w:pPr>
      <w:r>
        <w:t>Erwägungen</w:t>
      </w:r>
    </w:p>
    <w:p>
      <w:r>
        <w:rPr>
          <w:b/>
        </w:rPr>
        <w:t>E. 1</w:t>
      </w:r>
    </w:p>
    <w:p>
      <w:r>
        <w:t>a) Les dispositions de la LPGA s'appliquent à l'assurance- accidents (art. 1 al. 1 LAA). Les décisions sur opposition et celles contre lesquelles la voie de l'opposition n'est pas ouverte sont sujettes à recours auprès du tribunal des assurances compétent (art. 56 al. 1 et 58 al. 1 LPGA). Le recours doit être déposé dans les trente jours suivant la notification de la décision sujette à recours (art. 60 al. 1 LPGA). En l'espèce, le recours a été déposé en temps utile contre la décision sur opposition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et les références; cf. ATF 130 III 321 consid. 3.2 et 3.3). Aussi n'existe-t-il pas, en droit des assurances sociales, un principe selon lequel l'administration ou le juge devrait statuer, dans le doute, en faveur de l'assuré (ATF 126 V 319 consid. 5a).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 513/2011 du 22 mai 2012 c. 5.2 et les références). c) En l'occurrence, la déclaration d'accident remplie par l'employeur ne fait pas état d'événement particulier, se bornant à évoquer des douleurs ressenties par l'assuré au niveau du genou lors d'un entraînement de self-défense. De même, lorsqu'il a rempli le questionnaire à l'attention de l'assureur-accident, S.________ dit avoir exercé une activité</w:t>
      </w:r>
    </w:p>
    <w:p>
      <w:r>
        <w:t>- 8 - qui était habituelle pour lui, celle-ci s'étant au demeurant déroulée dans des conditions normales, sans que quelque chose de particulier puisse être signalé. Il a ressenti des douleurs pour la première fois en fin de journée. Ultérieurement, dans l'opposition dirigée contre la décision de M.________ SA du 17 juin 2011, le recourant a expliqué que les douleurs étaient apparues lors d'une formation en bâton tactique donnée à des futurs moniteurs, plusieurs rotations, coups, esquives, prises au sol ou contre le mur et changements de direction rapides étant effectués à cette occasion, de sorte qu'il n'était pas possible de désigner lequel de ces mouvements était responsable de la rupture du ménisque. Le 13 juillet 2011, lorsqu'il a complété son opposition, le recourant a encore insisté sur le fait qu'il lui était difficile d'attribuer la lésion subie à tel geste ou à tel coup, les participants au cours étant tous des professionnels là pour se former, circonstance qui explique que lorsque la douleur était trop vive, il ait pris des anti-douleurs et serré les dents pour passer malgré tout l'examen de fin de cours qui a eu lieu le lendemain, le 13 janvier 2011, selon l'opposition du 17 juin 2011, respectivement le vendredi, le 14 janvier 2011, selon le complément du 13 juillet 2011. Dans son recours enfin, le recourant fait état d'un "choc non contrôlé" et d'un "mouvement brusque". Ceci exposé, il apparaît que les déclarations du recourant sont partiellement contradictoires, dès lors que, dans un premier temps, il ne fait pas état d'événement particulier susceptible d'avoir entraîné les douleurs ressenties à son genou gauche et, plus tard, il expose avoir effectué plusieurs mouvements brusques, voire été victime d'un choc non contrôlé lors de son entraînement de self-défense. Dans ces circonstances, il convient de se référer aux premières déclarations de l'assuré, conformément à la jurisprudence rappelée ci-dessus. Il ressort de celles-ci que le recourant n'a rien ressenti ou remarqué de particulier lors de l'entraînement du 12 janvier 2011. S'il y avait eu quelque chose d'anormal, même si ce n'était qu'un mouvement extraordinaire qui ne lui avait pas occasionné de douleur immédiate et soudaine, il aurait dû le remarquer et le dire, ce qu'il n'a pas fait. On ne saurait dès lors considérer qu'il y a eu, en l'espèce, de mouvement non coordonné ou d'activité</w:t>
      </w:r>
    </w:p>
    <w:p>
      <w:r>
        <w:t>- 9 - inhabituelle entraînant les blessures qu'il a connues au genou. Il ne s'agit pas là de nier l'existence de toutes lésions en relation avec le cours de self-défense auquel le recourant a participé mais bien plutôt de considérer que celles-ci ne sont pas constitutives d'un événement unique isolé dans le temps mais résultent de microtraumatismes répétés de la vie courante, dont la pratique de sport pour un sportif du niveau du recourant fait partie, et qui mènent, probablement en lien avec les lésions du ménisque constatées déjà en 2001, peu à peu à une usure. Dans ces circonstances, on ne saurait retenir l'existence d'un accident au sens de l'art. 6 LAA et 4 LPGA dans le cas particulier (cf. ATF 134 V 72 consid. 4.3.2.1) Il n'y a pas lieu de se prononcer ici sur la question de savoir si l'ancien assureur- accidents de 2001 devrait prendre en charge les problèmes survenus en 2011.</w:t>
      </w:r>
    </w:p>
    <w:p>
      <w:r>
        <w:rPr>
          <w:b/>
        </w:rPr>
        <w:t>E. 3</w:t>
      </w:r>
    </w:p>
    <w:p>
      <w:r>
        <w:t>Il reste à ce stade à examiner si la blessure subie par S.________ entre dans l'hypothèse d'une lésion assimilée à un accident au sens de l'art. 9 al. 2 OLAA (Ordonnance du 20 décembre 1982 sur l’assurance-accidents, RS 832.202) qui, de fait, pourrait le cas échéant donner lieu à indemnisation de la part de M.________ SA. a)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w:t>
      </w:r>
    </w:p>
    <w:p>
      <w:r>
        <w:t>- 10 - f. les déchirures de tendons; g. les lésions de ligaments;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soit admise (TF 8C_696/2007 du 27 octobre 2006 c.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123 V 43; TF 8C_537/2011 du 28 février 2012 consid. 3.1). L'exigence d'un facteur dommageable extérieur n'est pas donnée lorsque l'assuré fait état de douleurs apparues pour la première fois après avoir accompli un geste de la vie courante (par exemple en se</w:t>
      </w:r>
    </w:p>
    <w:p>
      <w:r>
        <w:t>- 11 -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A noter encore que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(cf. ATF 129 V 466 consid. 4.3; cf. TFA U 94/03 du 31 octobre 2003 consid. 3.3 et U 76/03 du 15 avril 2004 consid. 6.3). b) En l'occurrence, le diagnostic de déchirure du ménisque a été clairement posé par les médecins qui ont eu à traiter le recourant. Au vu des premières déclarations de l'intéressé – dont on a vu ci-dessus qu'elles étaient déterminantes – cette lésion est survenue lors d'un cours de self-défense, lequel se déroulait dans des conditions normales, sans que l'intéressé soit confronté à des circonstances particulières. En l'absence de tout mouvement involontaire, propre à solliciter son corps, en particulier ses membres, de manière plus élevée que la normale du point</w:t>
      </w:r>
    </w:p>
    <w:p>
      <w:r>
        <w:t>- 12 - de vue physiologique, on ne saurait retenir l'existence d'un facteur extérieur ni, partant, l'existence d'une lésion assimilée au sens de l'art. 9 al. 2 OLAA (cf. aussi TF 8C_513/2011 précité, consid. 6). On peut certes comprendre que l'assuré a de la peine à concevoir que des lésions corporelles qu'il a ressenties après l'exercice d'un sport de combat ou de self-défense ne soient pas considérées comme lésions prises en charge par l'assurance-accidents. Toutefois, l'assuré n'a lui-même pas pu expliquer quels gestes particuliers auraient pu causer ses lésions. Selon ses premières allégations, il faudrait presque comprendre que le cours d'auto-défense qu'il a suivi impliquait en soi un risque élevé de lésions de manière à devoir admettre une entreprise téméraire au sens de l'art. 39 LAA et 50 al. 2 OLAA (cf. pour la boxe thaïe, TFA U 336_04 du 9 février 2005, consid. 3). Par la suite, dans sa réplique du 10 janvier 2012, l'assuré explique, par la plume de son mandataire, que l'activité pratiquée correctement lui évitait d'être blessé. Toutefois, l'assuré n'a à aucun moment exposé quel "faux" mouvement aurait causé les lésions constatées. On doit dès lors admettre ce qui a été dit ci-dessus à la fin du considérant 2c. De ce point de vue, le recours ne peut donc qu'être rejeté également.</w:t>
      </w:r>
    </w:p>
    <w:p>
      <w:r>
        <w:rPr>
          <w:b/>
        </w:rPr>
        <w:t>E. 4</w:t>
      </w:r>
    </w:p>
    <w:p>
      <w:r>
        <w:t>Le dossier étant complet, permettant ainsi à la Cour de céans de statuer en pleine connaissance de cause, il n'y a pas lieu de donner suite aux mesures d'instruction complémentaires requises par le recourant, à savoir la mise en œuvre d'une expertise.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5</w:t>
      </w:r>
    </w:p>
    <w:p>
      <w:r>
        <w:t>a) Il s’ensuit que le recours, mal fondé, doit être rejeté, et la décision attaquée confirmée.</w:t>
      </w:r>
    </w:p>
    <w:p>
      <w:r>
        <w:t>- 13 - b) Le présent arrêt est rendu sans frais, la procédure étant gratuite pour les parties (art. 61 let. a LPGA). Vu l'issue du litige, le recourant, qui succombe, n'a pas droit à des dépens (art. 61 let. g LPGA;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