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ZA09.018113 vom 21. März 2012</w:t>
      </w:r>
    </w:p>
    <w:p>
      <w:r>
        <w:t>VD Tribunal cantonal, 2012-03-21, FR</w:t>
      </w:r>
    </w:p>
    <w:p>
      <w:r>
        <w:rPr>
          <w:b/>
        </w:rPr>
        <w:t xml:space="preserve">Quelle: </w:t>
      </w:r>
      <w:r>
        <w:t>https://mcp.opencaselaw.ch/entscheid/vd_gerichte_ZA09.018113</w:t>
      </w:r>
    </w:p>
    <w:p>
      <w:r>
        <w:t>FR: VD_GERICHTE ZA09.018113 du 21 mars 2012</w:t>
      </w:r>
    </w:p>
    <w:p>
      <w:r>
        <w:t>IT: VD_GERICHTE ZA09.018113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44</w:t>
      </w:r>
    </w:p>
    <w:p>
      <w:r>
        <w:t>LPGA. 7. a) Il résulte de ce qui précède que le recours doit être admis, la décision sur opposition du 31 mars 2009 annulée et la cause renvoyée à l'intimée pour instruction complémentaire sous forme d'une expertise et nouvelle décision. b) Il n'y a pas lieu de percevoir de frais judiciaires, la procédure étant gratuite (art. 61 let. a LPGA). Le recourant, qui obtient gain de cause à l'aide d'un mandataire professionnel, a droit à des dépens (art. 61 let. g LPGA et 55 LPA-VD), qu'il convient de fixer équitablement à 2'500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