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ZA08.029259 vom 4. März 2010</w:t>
      </w:r>
    </w:p>
    <w:p>
      <w:r>
        <w:t>VD Tribunal cantonal, 2010-03-04, FR</w:t>
      </w:r>
    </w:p>
    <w:p>
      <w:r>
        <w:rPr>
          <w:b/>
        </w:rPr>
        <w:t xml:space="preserve">Quelle: </w:t>
      </w:r>
      <w:r>
        <w:t>https://mcp.opencaselaw.ch/entscheid/vd_gerichte_ZA08.029259</w:t>
      </w:r>
    </w:p>
    <w:p>
      <w:r>
        <w:t>FR: VD_GERICHTE ZA08.029259 du 4 mars 2010</w:t>
      </w:r>
    </w:p>
    <w:p>
      <w:r>
        <w:t>IT: VD_GERICHTE ZA08.029259 del 4 marzo 2010</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w:t>
      </w:r>
    </w:p>
    <w:p>
      <w:r>
        <w:t>- 9 -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La recourante critique le refus de l’intimée de lui allouer diverses prestations d’assurance à partir du 29 février 2008. Elle fait valoir en substance que ses limitations actuelles sont une conséquence de l'accident professionnel de 2006 (en relation avec l'accident similaire de 2004) et conteste l’hypothèse de l'existence d'un état maladif préexistant, telle que soutenue par Generali. a) Aux termes de l’art. 6 al. 1 LAA (loi fédérale du 20 mars 1981 sur l’assurance-accidents, RS 832.20), si la loi n’en dispose pas autrement,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w:t>
      </w:r>
    </w:p>
    <w:p>
      <w:r>
        <w:t>- 10 -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8C_1025/2008 du 19 octobre 2009, consid. 3.2).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(SBVR XIV, Frésard/Moser-Szeless, L'assurance-accidents obligatoire, n° 80 p. 865).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En cas d'atteinte à la santé physique, ce rapport de causalité adéquate est généralement admis sans autre examen, dès lors que le rapport de</w:t>
      </w:r>
    </w:p>
    <w:p>
      <w:r>
        <w:t>- 11 - causalité naturelle est établi (ATF 127 V 102 consid. 5b/bb ; TF 8C_42/2009 du 1er octobre 2009, consid. 2.3s.). b)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ATF 125 V 351 consid. 3a ; TF 8C_1021/2008 du 3 décembre 2009, consid. 2.2.2). c) En l’espèce, il y a lieu de relever d'emblée que la prise de position de l’OAI (préavis qui pourrait être repris tel quel dans une décision d'octroi de rente entière d'invalidité) n'impose pas à l'assureur-accidents d'allouer lui aussi des prestations au-delà du statu quo sine ou ante. L'assurance-invalidité prend en effet en considération toutes les atteintes à la santé, permanentes ou de longue durée, qui ont un effet sur la capacité de gain, et non pas uniquement les atteintes résultant d'un accident. Sur la base du dossier, il apparaît que l’OAI n'a sans doute pas évalué uniquement les conséquences de l'accident de 2006, mais qu'il a au contraire tenu compte de l'ensemble des causes de l'incapacité de travail comme serveuse (incapacité reconnue par l'expert de l'assurance- accidents).</w:t>
      </w:r>
    </w:p>
    <w:p>
      <w:r>
        <w:t>- 12 - d) La décision attaquée retient qu'à partir du 1er mars 2008, ses prestations ne sont plus dues parce que le statu quo sine est atteint. Cela signifie que les atteintes au genou qui subsistent ne sont plus en relation de causalité avec les accidents litigieux (de 2004 et 2006) mais qu'elles résultent d'un état maladif antérieur. Ces constatations se fondent sur deux rapports successifs de l'expert C.________. Le premier rapport de l'expert date du mois de juin 2007. Il mentionne, sur la base de documents radiologiques, une atteinte dégénérative (atteinte du cartilage de la fémoropatellaire externe, de l'interligne interne suite à une méniscectomie ; chondrocalcinose unilatérale externe droite, pincement interne très discret à gauche, plus marqué à droite). Des troubles dégénératifs ont également été constatés par le Dr N.________, qui a opéré la recourante en 2007 (arthroscopie), mais ces troubles ont été qualifiés de discrets. Le second rapport de l’expert date du mois de juin 2008. Il reprend ses conclusions antérieures, à propos de lésions préexistantes à l'interligne interne et à l'articulation fémoro-patellaire. Il retient en outre que la situation n'a pas évolué de façon favorable depuis 2007. L'expert a écrit qu'il déterminait la date du statu quo sine « arbitrairement ». Cela ne signifie cependant pas qu'il l'a volontairement déterminée de manière fausse ou insoutenable (voir la définition juridique de l'arbitraire selon l'art. 9 Cst.), mais qu'il l'a fait selon sa propre appréciation (dans le domaine scientifique, choisir une valeur arbitraire signifie une valeur quelconque). La question à trancher est celle de la valeur probante de cet avis médical. Si l'expert a retenu en juin 2008 une évolution peu favorable de la situation, il apparaît en l'état qu'une année plus tard (en été et automne 2009), la recourante a recouvré un meilleur usage de son genou (pour la vie quotidienne, les marches en montagne) et que son médecin habituel a lui-même constaté une évolution favorable, en décembre 2009. Il n'y a aucun motif, sur la base des résultats de l'instruction, de nier le caractère vraisemblable de cette évolution favorable.</w:t>
      </w:r>
    </w:p>
    <w:p>
      <w:r>
        <w:t>- 13 - En outre, l'IRM effectuée en 2006 (mentionnée dans le premier rapport d'expertise) ne signalait qu'une « discrète altération dégénérative », ce qui n'est pas insolite pour une femme âgée alors de 61 ans. Le radiologue n'a pas parlé d'arthrose. Cette discrète altération n'empêchait pas d'estimer que le genou était alors en bon état. La recourante, semble-t-il, ne boitait pas et ne prenait pas de médicaments contre les douleurs au genou. Puisqu'il existe maintenant des éléments objectifs dans le sens d'une amélioration, la prévision de l'expert, faite en 2008, sur l'évolution des lésions dégénératives, n'est pas concluante. L’expérience médicale montre que les troubles dégénératifs sont progressifs et que si on peut en constater de discrets chez une personne de plus de 60 ans, ils peuvent exister sans pour autant être symptomatiques. Dans ces conditions, l'instruction du dossier sur le plan médical se révèle insuffisante et il est nécessaire que l'expert C.________ se prononce une fois encore sur l'évolution des atteintes au genou droit. Il convient donc d’admettre les conclusions subsidiaires du recours et de renvoyer le dossier de la cause à l’intimée, afin que celle-ci charge son expert d'examiner une nouvelle fois la recourante, en se prononçant plus en détail sur les conséquences de la discrète altération dégénérative antérieure. Sur cette base, le statu quo sine pourra le cas échéant être déterminé. Ensuite, il incombera à l'intimée de rendre une nouvelle décision sur les prestations requises à partir du 1er mars 2008.</w:t>
      </w:r>
    </w:p>
    <w:p>
      <w:r>
        <w:rPr>
          <w:b/>
        </w:rPr>
        <w:t>E. 3</w:t>
      </w:r>
    </w:p>
    <w:p>
      <w:r>
        <w:t>En définitive, le recours, bien fondé, doit être admis, la décision attaquée annulée et le dossier de la cause renvoyé à l’intimée pour nouvelle instruction et nouvelle décision, dans le sens exprimé ci- dessus. Il n’y a pas lieu de percevoir de frais judiciaires, la procédure étant gratuite (art. 61 let. a LPGA).</w:t>
      </w:r>
    </w:p>
    <w:p>
      <w:r>
        <w:t>- 14 -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Generali,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