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ZA08.004785 vom 19. August 2009</w:t>
      </w:r>
    </w:p>
    <w:p>
      <w:r>
        <w:t>VD Tribunal cantonal, 2009-08-19, FR</w:t>
      </w:r>
    </w:p>
    <w:p>
      <w:r>
        <w:rPr>
          <w:b/>
        </w:rPr>
        <w:t xml:space="preserve">Quelle: </w:t>
      </w:r>
      <w:r>
        <w:t>https://mcp.opencaselaw.ch/entscheid/vd_gerichte_ZA08.004785</w:t>
      </w:r>
    </w:p>
    <w:p>
      <w:r>
        <w:t>FR: VD_GERICHTE ZA08.004785 du 19 août 2009</w:t>
      </w:r>
    </w:p>
    <w:p>
      <w:r>
        <w:t>IT: VD_GERICHTE ZA08.004785 del 19 agosto 2009</w:t>
      </w:r>
    </w:p>
    <w:p>
      <w:pPr>
        <w:pStyle w:val="Heading2"/>
      </w:pPr>
      <w:r>
        <w:t>Erwägungen</w:t>
      </w:r>
    </w:p>
    <w:p>
      <w:r>
        <w:rPr>
          <w:b/>
        </w:rPr>
        <w:t>E. 1</w:t>
      </w:r>
    </w:p>
    <w:p>
      <w:r>
        <w:t>LPGA [loi fédérale du 6 octobre 2000 sur la partie générale du droit des assurances sociales; RS 830.1]).</w:t>
      </w:r>
    </w:p>
    <w:p>
      <w:r>
        <w:rPr>
          <w:b/>
        </w:rPr>
        <w:t>E. 2</w:t>
      </w:r>
    </w:p>
    <w:p>
      <w:r>
        <w:t>A teneur de la disposition transitoire de l'art. 117 al. 1 LPA-VD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w:t>
      </w:r>
    </w:p>
    <w:p>
      <w:r>
        <w:rPr>
          <w:b/>
        </w:rPr>
        <w:t>E. 3</w:t>
      </w:r>
    </w:p>
    <w:p>
      <w:r>
        <w:t>a) L'assuré totalement ou partiellement incapable de travailler (art. 6 LPGA) à la suite d'un accident a droit à une indemnité journalière (art. 16 al. 1er LAA; loi fédérale sur l'assurance-accidents du 20 mars 1981, RS 832.20). Le droit à l'indemnité journalière naît le troisième jour qui suit celui de l'accident. Il s'éteint dès que l'assuré a recouvré sa pleine capacité de travail, dès qu'une rente est versée ou dès que l'assuré décède (art. 16 al. 2 LAA). Aux termes de l'article 6 LPGA, est réputée incapacité de travail toute perte, totale ou partielle, de l'aptitude de l'assuré à accomplir dans sa profession ou son domaine d'activité le travail qui peut raisonnablement être exigé de lui, si cette perte résulte d'une atteinte à sa</w:t>
      </w:r>
    </w:p>
    <w:p>
      <w:r>
        <w:t>- 11 - santé physique, mentale ou psychique. En cas d'incapacité de travail de longue durée, l'activité qui peut être exigée de lui peut aussi relever d'une autre profession ou d'un autre domaine d'activité. b) Selon l'article 6 alinéa 1er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condition de l'atteinte dommageable concerne la santé physique, mentale ou psychique; l'assuré a besoin au moins d'une mesure diagnostique, le plus souvent d'un traitement médical, ou il subit une incapacité de travail (Greber/Kahil-Wolff, Introduction au droit suisse de la sécurité sociale, 3ème édition, Genève 2006, n. 336, p. 130; Ghélew/Ramelet/Ritter, Commentaire de la loi sur l'assurance-accidents, Lausanne 1992, p. 44). c) Le droit à des prestations découlant d'un événement assuré suppose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- 12 - tranchée en se conformant à la règle du degré de vraisemblance prépondérante, appliquée généralement à l'appréciation des preuves en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118 V 286 consid. 1b; RAMA 1997 U 275 p. 188, consid. 1b; cf. aussi Ghélew/Ramelet/Ritter, op. cit., pp. 51 ss; Maurer, Schweizerisches Unfallversicherungsrecht, Berne 1985, pp. 458 ss). Le droit à des prestations suppose en outre un rapport de causalité adéquate entre l'accident et l'incapacité de travail,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113 V 307, consid. 3b et 321 consid. 2b, 112 V 30, consid. 1b, 109 V 150, consid. 3a, 107 V 173). Le juge des assurances sociales, doit, dans la mesure où la loi ne prescrit rien de contraire, fonder sa décision sur le degré de vraisemblance prépondérant - la simple possibilité ne suffit pas. Le juge doit privilégier l'état de fait qui lui paraît le plus vraisemblable de tous les états de fait possibles (ATF 113 V 307, consid. 3a). L'administration ou le juge (en cas de recours) décide de l'existence du lien de causalité en se fondant en tout premier lieu sur les données d'ordre médical qui résultent des investigations menées par des spécialistes au sujet de l'anamnèse, des constatations objectives, du diagnostic, des conséquences des lésions subies, des facteurs étrangers à l'accident, de l'état préexistant etc.</w:t>
      </w:r>
    </w:p>
    <w:p>
      <w:r>
        <w:t>- 13 - En matière de troubles physiques, la causalité adéquate se confond pratiquement avec la causalité naturelle; l'assureur-accidents répond en effet aussi des complications les plus singulières et les plus graves qui ne se produisent habituellement pas selon l'expérience médicale (ATF 118 V 286, consid. 3a; 117 V 359, consid. 5d/bb; RAMA 1991 U 121 p. 95, cité par Ghélew/Ramelet/Ritter, op. cit., p. 52 in initio; RAMA 1993 U 160 p. 34; Frésard, L'assurance-accidents obligatoire, in SBVR [Schweizerisches Bundesverwaltungsrecht] n. 39).</w:t>
      </w:r>
    </w:p>
    <w:p>
      <w:r>
        <w:rPr>
          <w:b/>
        </w:rPr>
        <w:t>E. 4</w:t>
      </w:r>
    </w:p>
    <w:p>
      <w:r>
        <w:t>a) Le recourant reproche à l'intimée de n'avoir pas tenu compte de l'avis médical de son médecin traitant et de s'être fondée sur l'avis de son médecin-conseil, qui ne l'a pas examiné.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w:t>
      </w:r>
    </w:p>
    <w:p>
      <w:r>
        <w:t>- 14 -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 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Ainsi, selon une jurisprudence constante,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experts qu'à celles d'un médecin traitant (ATF 125 V 351, consid. 3b/cc et les références; VSI 2001, p. 106, consid. 3b/bb et cc). Il convient cependant de relever qu'un rapport médical ne saurait être écarté pour la simple et unique raison qu'il émane du médecin traitant ou qu'il a été établi par un médecin se trouvant dans un rapport de subordination vis-à- vis d'un assureur (TF 9C_773/2007, précité, consid. 5.2). c) En l'espèce, l'intimée a fixé le terme du droit aux indemnités journalières au 16 juillet 2007, alors que, par deux nouveaux certificats médicaux des 30 juillet et 15 août 2007, le Dr B.________, médecin traitant</w:t>
      </w:r>
    </w:p>
    <w:p>
      <w:r>
        <w:t>- 15 - du recourant, a prolongé l'incapacité de travail de celui-ci, fixant celle-ci à 50 % du 20 juin 2007 au 19 août 2007, puis à 25 % du 20 août 2007 au 19 octobre 2007. Dans son appréciation médicale du 5 décembre 2007, si le médecin conseil de l'intimée se rallie au point de vue du médecin traitant du recourant, selon lequel même après une lésion sans fracture osseuse, une tuméfaction périmalléolaire peut persister et qu'en cas de lésion osseuse adjointe et/ou de lésion articulaire, une tuméfaction peut durer encore plus longtemps, il fait valoir que cette réaction en soi normale des tissus n'est pas liée à une réduction des possibilités de mise à contribution du pied, de sorte que la tuméfaction et la légère douleur en cas d'hyperextension du pied constatées le 15 août 2007 ne peuvent pas justifier une capacité de travail réduite dans une activité physiquement non contraignante. Ainsi, la prolongation de l'incapacité de travail partielle nouvellement attestée de 25 % du 20 août au 19 octobre n'est ni intelligible ni médicalement justifiée. Cela étant, il convient de déterminer si la prolongation de l'incapacité partielle de travail du recourant au-delà du 16 juillet 2007 est justifiée en tant que conséquence naturelle et adéquate de l'accident survenu le 12 mai 2006. A cet égard, on relève que l'accident dont a été victime le recourant a provoqué une fracture trimalléolaire de la cheville droite et nécessité une intervention chirurgicale en mai 2006. La persistance des douleurs et d'une tuméfaction a eu pour conséquence qu'il soit procédé à une seconde intervention chirurgicale le 22 mai 2007, destinée à enlever le matériel d'ostéosynthèse mis en place l'année précédente. Dans son rapport médical du 16 août 2007, le médecin traitant du recourant explique que le recourant a subi un important traumatisme et que, si l'évolution de son état est lente (œdème et douleurs persistants), elle doit être considérée comme normale en raison de l'irritation provoquée par le matériel d'ostéosynthèse. Enfin, dans son écriture du 16 mars 2009 par laquelle il se détermine sur les arguments du médecin conseil de l'intimée, le Dr B.________ indique que si, sur le papier, son patient n'exerce pas une activité physique contraignante, dans les faits, il est obligé de procéder à plusieurs déplacements; il relève en outre que la position assise prolongée au bureau entraîne des difficultés de</w:t>
      </w:r>
    </w:p>
    <w:p>
      <w:r>
        <w:t>- 16 - retour veineux, ce qui peut conditionner une enflure douloureuse au pied et que, dans la mesure où il a suivi son patient durant toute cette période, il estime être le mieux à même de connaître son status clinique exact et définir sa capacité de travail. Les arguments avancés par le Dr B.________, spécialiste en orthopédie et traumatologie et médecin traitant du recourant, emportent la conviction de la cour par leur pertinence. La question de savoir si, dans un cas particulier, le traumatisme subi par un patient à la suite d'une fracture trimalléolaire et de la pose de matériel d'ostéosynthèse, peut conduire à une irritabilité de la zone opérée, à une importante tuméfaction et à des douleurs persistantes au-delà d'une période déterminée ne saurait en effet être résolue par une appréciation théorique. Il en va de même de la capacité de travail d'un tel patient, qui doit être évaluée en fonction de son status clinique mis en rapport avec la nature réelle de son activité professionnelle. Dans la mesure où l'appréciation du médecin conseil de l'intimée, dont on ne connaît au demeurant pas la spécialité, se fonde sur une vision théorique du status clinique et de l'activité professionnelle du recourant, qu'il n'a pas reçu en consultation, elle ne saurait résister aux motifs complets et convaincants développés par le médecin traitant du recourant pour justifier la prolongation de l'incapacité de travail partielle de celui-ci au-delà du 16 juillet 2007, soit, comme il l'a confirmé dans son écriture du 3 juillet 2009, à un taux 50 % jusqu'au 19 août 2007 puis à un taux de 25 % du 20 août au 19 octobre 2007.</w:t>
      </w:r>
    </w:p>
    <w:p>
      <w:r>
        <w:rPr>
          <w:b/>
        </w:rPr>
        <w:t>E. 5</w:t>
      </w:r>
    </w:p>
    <w:p>
      <w:r>
        <w:t>Selon l'art. 99 LPA-VD, les dispositions sur le recours administratif (art. 73 à 91 LPA-VD) sont applicables par analogie au recours au Tribunal cantonal. S'il est clair que le tribunal ne peut pas statuer sur des points qui sortent du cadre fixé par la décision attaquée (l'art. 79 al. 2 LPA-VD interdit ainsi au recourant de prendre des conclusions qui sortent du cadre fixé par la décision attaquée), l'art. 89 al. 1 LPA-VD prévoit que l'autorité n'est pas liée par les conclusions des parties.</w:t>
      </w:r>
    </w:p>
    <w:p>
      <w:r>
        <w:t>- 17 - En l'espèce, quand bien même le recourant n'a réclamé le paiement d'indemnités journalières que depuis le 20 août 2007, à un taux de 25 %, dès lors que l'intimée, par la décision attaquée, a refusé de lui verser des indemnités journalières dès le 16 juillet 2007, la cour de céans peut, dans le cadre de la réforme de cette décision (cf. art. 90 LPA-VD), allouer des indemnités journalières à 50 % du 17 juillet 2007 au 19 août 2007 puis, en admission des conclusions du recours proprement dites, à 25 % du 20 août 2007 au 19 octobre 2007.</w:t>
      </w:r>
    </w:p>
    <w:p>
      <w:r>
        <w:rPr>
          <w:b/>
        </w:rPr>
        <w:t>E. 6</w:t>
      </w:r>
    </w:p>
    <w:p>
      <w:r>
        <w:t>En définitive, le recours doit être admis et la décision entreprise réformée dans le sens du considérant précédent. Il n'est pas perçu de frais de justice. Bien qu'obtenant gain de cause, le recourant ayant agi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