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XZ25.026268 vom 9. Juli 2025</w:t>
      </w:r>
    </w:p>
    <w:p>
      <w:r>
        <w:t>VD Tribunal cantonal, 2025-07-09, FR</w:t>
      </w:r>
    </w:p>
    <w:p>
      <w:r>
        <w:rPr>
          <w:b/>
        </w:rPr>
        <w:t xml:space="preserve">Quelle: </w:t>
      </w:r>
      <w:r>
        <w:t>https://mcp.opencaselaw.ch/entscheid/vd_gerichte_XZ25.026268</w:t>
      </w:r>
    </w:p>
    <w:p>
      <w:r>
        <w:t>FR: VD_GERICHTE XZ25.026268 du 9 juillet 2025</w:t>
      </w:r>
    </w:p>
    <w:p>
      <w:r>
        <w:t>IT: VD_GERICHTE XZ25.026268 del 9 luglio 2025</w:t>
      </w:r>
    </w:p>
    <w:p>
      <w:pPr>
        <w:pStyle w:val="Heading2"/>
      </w:pPr>
      <w:r>
        <w:t>Erwägungen</w:t>
      </w:r>
    </w:p>
    <w:p>
      <w:r>
        <w:rPr>
          <w:b/>
        </w:rPr>
        <w:t>E. 1</w:t>
      </w:r>
    </w:p>
    <w:p>
      <w:r>
        <w:t>Par décision du 10 juin 2025, la Présidente du Tribunal des baux (ci-après : la présidente) a déclaré irrecevable la requête d’expulsion par voie de cas clair formée par Z.________ le 3 juin 2025 à l’encontre de P.________ et a rendu la décision sans frais. En droit, la présidente a considéré que la requête d’expulsion par voie de cas clair déposée le 3 juin 2025 par Z.________ à l’encontre de P.________ était irrecevable en raison d’une litispendance préexistante. Z.________ avait en effet déjà déposé le 30 mai 2025 une demande en procédure simplifiée tendant à l’expulsion du précité, soit sur le même objet que sa requête du 3 juin 2025. La première juge a relevé que si les procédures applicables à ces deux causes n'étaient pas identiques et que le tribunal n’était pas encore entré en matière sur la demande soumise à la procédure simplifiée, ces deux éléments ne faisaient cependant pas obstacle à un prononcé d’irrecevabilité immédiat en ce qui concerne la requête de cas clair, selon la jurisprudence du Tribunal fédéral.</w:t>
      </w:r>
    </w:p>
    <w:p>
      <w:r>
        <w:rPr>
          <w:b/>
        </w:rPr>
        <w:t>E. 2</w:t>
      </w:r>
    </w:p>
    <w:p>
      <w:r>
        <w:t>De la lettre recommandée de Madame E.________ du 6 juin 2025, je conclus qu’elle n’a probablement pas lu ma demande du 2 juin et la copie identique du 10 juin et qu’elle a perdu au moins une partie des documents que j’ai joints.</w:t>
      </w:r>
    </w:p>
    <w:p>
      <w:r>
        <w:rPr>
          <w:b/>
        </w:rPr>
        <w:t>E. 3</w:t>
      </w:r>
    </w:p>
    <w:p>
      <w:r>
        <w:t>Je dois conclure que Mme E.________ a besoin d’un soutien compétent pour examiner et traiter ma demande d’expulsion et que sa décision doit être considérée comme juridiquement invalide. »</w:t>
      </w:r>
    </w:p>
    <w:p>
      <w:r>
        <w:t>- 3 -</w:t>
      </w:r>
    </w:p>
    <w:p>
      <w:r>
        <w:rPr>
          <w:b/>
        </w:rPr>
        <w:t>E. 3.1.1.1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doit être introduit dans les trente jours à compter de la notification de la décision motivée ou de la notification postérieure de la motivation (art. 311 al. 1 CPC).</w:t>
      </w:r>
    </w:p>
    <w:p>
      <w:r>
        <w:rPr>
          <w:b/>
        </w:rPr>
        <w:t>E. 3.1.1.2</w:t>
      </w:r>
    </w:p>
    <w:p>
      <w:r>
        <w:t>Une décision est finale au sens de l’art. 236 CPC lorsqu’elle met fin au procès (au sens procédural), que ce soit par une décision d’irrecevabilité – pour un motif de procédure – ou par une décision au fond – pour un motif tiré du droit matériel (ATF 134 Ill 426 consid. 1.1).</w:t>
      </w:r>
    </w:p>
    <w:p>
      <w:r>
        <w:rPr>
          <w:b/>
        </w:rPr>
        <w:t>E. 3.1.2.1</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w:t>
      </w:r>
    </w:p>
    <w:p>
      <w:r>
        <w:t>- 4 - 4A_463/2023 du 24 avril 2024 consid. 4.1 et les nombreuses réf. cit.).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4A_463/2023 précité consid. 4.1).</w:t>
      </w:r>
    </w:p>
    <w:p>
      <w:r>
        <w:rPr>
          <w:b/>
        </w:rPr>
        <w:t>E. 3.1.2.2</w:t>
      </w:r>
    </w:p>
    <w:p>
      <w:r>
        <w:t>L'appel (art. 308 ss CPC)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et les réf. cit.). Cependant, si le tribunal de première instance a rendu une décision d'irrecevabilité, l'appel ne peut tendre qu'à l'annulation de celle-ci et au renvoi de la cause au premier juge. Les conclusions sur le fond supposent donc que l'autorité précédente soit entrée en matière et ait rendu un jugement au fond (Sachurteil). En revanche, de telles conclusions ne sont pas recevables si la décision attaquée est un jugement de procédure (Prozessurteil), le juge ayant refusé d'entrer en matière parce que les conditions de recevabilité ne sont pas remplies (ATF 138 III 46 consid. 1.2 ; TF 4A_207/2019 du 17 août 2020 consid. 3.2, non publié à l'ATF 146 III 413).</w:t>
      </w:r>
    </w:p>
    <w:p>
      <w:r>
        <w:rPr>
          <w:b/>
        </w:rPr>
        <w:t>E. 3.1.2.3</w:t>
      </w:r>
    </w:p>
    <w:p>
      <w:r>
        <w:t>Il ne saurait être remédié à un défaut de motivation ou à des conclusions déficientes, de tels vices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ou des conclusions déficientes</w:t>
      </w:r>
    </w:p>
    <w:p>
      <w:r>
        <w:t>- 5 - (TF 5A_23/2019 du 3 juillet 2019 consid. 3.2.2 ; TF 5A_368/2018 du 25 avril 2019 consid. 4.3.4). Il en va de même de l'art. 56 CPC, qui impose au juge un devoir d’interpellation et concerne les allégations de fait (TF 5A_483/2018 du 23 octobre 2018 consid. 3.2 ; TF 5A_488/2015 du 21 août 2015 consid. 3.2.2).</w:t>
      </w:r>
    </w:p>
    <w:p>
      <w:r>
        <w:rPr>
          <w:b/>
        </w:rPr>
        <w:t>E. 3.2</w:t>
      </w:r>
    </w:p>
    <w:p>
      <w:r>
        <w:t>En l’espèce, l’appel ne comporte aucune conclusion formelle, que ce soit en réforme ou en annulation, l’appelante n’indiquant pas ce qu’elle veut obtenir. En outre, dans sa motivation, l’appelante ne discute nullement les motifs qui ont conduit la présidente à déclarer sa demande irrecevable en raison d’une litispendance préexistante. Elle se limite à rappeler des faits de procédure et à comparer deux signatures de la présidente dans deux courriers différents pour soutenir que celles-ci ne se ressemblent pas et qu’elles ne ressemblent pas non plus à son nom, ce qui est dénué de pertinence. Par conséquent, faute de conclusions valables et de motivation suffisante, l’appel est irrecevable et aucun délai ne saurait être imparti à l’appelante pour remédier à ces défauts conformément à la jurisprudence précitée (cf. consid. 3.1.2.3 supra).</w:t>
      </w:r>
    </w:p>
    <w:p>
      <w:r>
        <w:rPr>
          <w:b/>
        </w:rPr>
        <w:t>E. 4.1</w:t>
      </w:r>
    </w:p>
    <w:p>
      <w:r>
        <w:t>En définitive, l’appel doit être déclaré irrecevable, selon le mode procédural de l’art. 312 al. 1 in fine CPC.</w:t>
      </w:r>
    </w:p>
    <w:p>
      <w:r>
        <w:rPr>
          <w:b/>
        </w:rPr>
        <w:t>E. 4.2</w:t>
      </w:r>
    </w:p>
    <w:p>
      <w:r>
        <w:t>Le présent arrêt peut être rendu sans frais judiciaires de deuxième instance (cf. art. 11 TFJC [tarif des frais judiciaires civils du 28 septembre 2010 ; BLV 270.11.5]). P.________ n’ayant pas été invité à se déterminer sur l’appel, il n’y a pas lieu à l’allocation de dépens.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