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XZ24.055421 vom 10. April 2025</w:t>
      </w:r>
    </w:p>
    <w:p>
      <w:r>
        <w:t>VD Tribunal cantonal, 2025-04-10, FR</w:t>
      </w:r>
    </w:p>
    <w:p>
      <w:r>
        <w:rPr>
          <w:b/>
        </w:rPr>
        <w:t xml:space="preserve">Quelle: </w:t>
      </w:r>
      <w:r>
        <w:t>https://mcp.opencaselaw.ch/entscheid/vd_gerichte_XZ24.055421</w:t>
      </w:r>
    </w:p>
    <w:p>
      <w:r>
        <w:t>FR: VD_GERICHTE XZ24.055421 du 10 avril 2025</w:t>
      </w:r>
    </w:p>
    <w:p>
      <w:r>
        <w:t>IT: VD_GERICHTE XZ24.055421 del 10 aprile 2025</w:t>
      </w:r>
    </w:p>
    <w:p>
      <w:pPr>
        <w:pStyle w:val="Heading2"/>
      </w:pPr>
      <w:r>
        <w:t>Erwägungen</w:t>
      </w:r>
    </w:p>
    <w:p>
      <w:r>
        <w:rPr>
          <w:b/>
        </w:rPr>
        <w:t>E. 4</w:t>
      </w:r>
    </w:p>
    <w:p>
      <w:r>
        <w:t>février 2025/69 ; CACI 21 janvier 2025/27 ; CACI 14 janvier 2025/14). Cela n'empêche pas le juge de statuer à titre préjudiciel sur la question de la validité de la résiliation. Le fait que le Tribunal fédéral ne se soit pas prononcé sur une situation particulière n'exclut pas l’application de la procédure des cas clairs. Sur le fond, le jugement retient en fait que la bailleresse initiale a vendu l’immeuble avec effet au 11 avril 2024, qu’elle a mis fin au contrat d'assurance le 23 mai 2024 ; que le 1er mai 2024, la gérance avait informé la locataire du fait que l’ancienne propriétaire résiliait l'assurance et qu’elle lui avait imparti un délai au 15 mai 2024 pour déposer une garantie de loyer. L'appelante, dans ses allégations factuelles mentionnées ci-dessus au consid. 3.2, relève que la gérance a seulement signé une « sollicitation ou fin du cautionnement » le 23 mai 2024, qu'elle lui avait déjà demandé avant cela de constituer des sûretés, et qu'à ce moment la précédente propriétaire n'était plus partie au contrat de bail. Elle ne soutient cependant pas qu'il y aurait une constatation erronée des faits, ne fait pas allusion à l’état de fait contenu dans le jugement attaqué et n’indique rien sur l’objet et le fondement de ses éventuelles critiques. Lesdites allégations ne réalisent ainsi pas les exigences de motivation posées par l’art. 311 al. 1 CPC, de sorte qu’elles sont irrecevables (cf. parmi d’autres : TF 4A_318/2023 du 14 juillet 2023 consid. 2.3 ; TF 4A_274/2020 du 1er septembre 2020 consid. 4 ; CACI 24 février 2025/99 ; CACI 21 août 2023/336 ; CACI 4 mai 2021/212 ; CACI 8 juin 2020/223). Dans tous les cas, ces détails sont sans importance.</w:t>
      </w:r>
    </w:p>
    <w:p>
      <w:r>
        <w:t>- 11 - La clause est en réalité simple et prévoit que le locataire doit fournir des sûretés, soit en souscrivant à l'assurance collective de garantie de loyer, soit en espèces, si ce n'est pas ou plus possible. Selon cette clause, en cas de non-fourniture de ces sûretés, le bailleur peut résilier le rapport de location. Rien ne s’oppose à ce que cette clause, qui protège le bailleur durant toute la durée du contrat, puisse, avec le reste, être reprise par le nouveau bailleur en cas de vente de l'immeuble. Dans le cas contraire, le locataire ne serait plus du tout astreint à fournir des sûretés, quelles qu'elles soient. Le fait qu'au départ, la locataire ait pu fournir des sûretés sous la forme de la participation à une assurance collective ne peut pas être invoqué comme une sorte de « droit acquis ». Il a d'emblée été prévu que si pour n'importe quelle raison cette solution prenait fin, le bailleur pouvait exiger des sûretés en espèces à première demande, cette demande pouvant ainsi être formulée par le bailleur initial ou par son successeur, sans que cela n’ait d’importance dans la situation du locataire. Tant que le bail existe, la locataire est tenue aux sûretés prévues par le contrat. Il est normal que la précédente propriétaire résilie une assurance collective à laquelle elle n'a plus aucun intérêt, et que les sûretés censées la remplacer soient constituées avant qu'elle prenne fin. D’ailleurs, la précédente bailleresse aurait pu résilier l'assurance collective sans motif et demander des sûretés en espèces, sans qu'on puisse pour autant lui reprocher d’avoir modifié le contrat. Le changement de bailleur ne modifie en rien cette appréciation. En conséquence, ce grief doit être rejeté.</w:t>
      </w:r>
    </w:p>
    <w:p>
      <w:r>
        <w:rPr>
          <w:b/>
        </w:rPr>
        <w:t>E. 4.1</w:t>
      </w:r>
    </w:p>
    <w:p>
      <w:r>
        <w:t>L'appelante soutient que la procédure des cas clairs ne pouvait pas être appliquée au présent cas. D'abord, elle trouve choquant que la présidente ait appliqué la procédure des cas clairs à une situation sur laquelle le Tribunal fédéral ne s'est pas encore penché. Surtout, elle estime que la clause litigieuse n'est pas limpide. Elle est d'avis que son engagement à souscrire à l’assurance collective de loyer du bailleur ou, au cas où cette couverture d'assurance prendrait fin, à déposer une garantie en espèces à première demande, ne valait qu'à l'égard du bailleur initial et non du repreneur après la vente de l'immeuble. Le fait « de ne plus bénéficier d'une assurance de garantie de loyer collective » devrait être considéré comme une modification du contrat qui requérait une formule officielle. La résiliation extraordinaire du bail serait donc nulle, respectivement annulable, faute pour l’intimée d'avoir utilisé la formule officielle. Une autre interprétation de la clause litigieuse « reviendrait à dire qu'elle se serait engagée envers n'importe quel futur propriétaire, à n'importe quel titre et pour n'importe quel délai, à devoir constituer des sûretés ». Elle viderait de son sens l'art. 269d CO protégeant les locataires contre les loyers ou autres prétentions abusifs. L'appelante soutient aussi qu'elle ignore toujours si et à quelle date l'assurance a pris fin, l’intimée n'ayant pas apporté de preuve à ce sujet. La résiliation de l'assurance était le fait de la première bailleresse qui n'était plus partie au contrat. On ne pouvait donc pas soutenir que la clause était limpide et que l’appelante était « parfaitement au clair ».</w:t>
      </w:r>
    </w:p>
    <w:p>
      <w:r>
        <w:rPr>
          <w:b/>
        </w:rPr>
        <w:t>E. 4.2</w:t>
      </w:r>
    </w:p>
    <w:p>
      <w:r>
        <w:t>L'application d'une procédure en protection dans les cas clairs – procédure sommaire prévue par l’art. 257 CPC – permet d'obtenir rapidement une décision à deux conditions : l’état de fait n'est pas litigieux ou susceptible d'être immédiatement prouvé et la situation juridique est claire (CACI 27 janvier 2024/37 ; CACI 26 mars 2021/145 consid. 3.2.1). Premièrement, l'état de fait n'est pas litigieux s'il n'est pas contesté par le défendeur. Il est susceptible d'être immédiatement prouvé lorsque les faits peuvent être établis sans retard et sans trop de frais.</w:t>
      </w:r>
    </w:p>
    <w:p>
      <w:r>
        <w:t>- 9 - Deuxièmement, la situation juridique est claire lorsque l’application de la norme au cas concret s'impose de façon évidente au regard du texte légal ou sur la base d'une doctrine ou d'une jurisprudence éprouvée. En règle générale, la situation juridique n'est pas claire si l'application d'une norme nécessite un certain pouvoir d'appréciation du tribunal ou si celui-ci doit rendre une décision fondée sur l'équité qui intègre les circonstances concrètes (ATF 144 III 462 consid. 3.1). Si le juge parvient à la conclusion que les conditions de l'art. 257 al. 1 CPC sont réalisées, le demandeur obtient gain de cause par une décision ayant l'autorité de la chose jugée et la force exécutoire (ATF 138 III 620 consid. 5.1.1). Si elles ne sont pas remplies et que le demandeur ne peut donc pas obtenir gain de cause, le juge ne peut que prononcer l'irrecevabilité de la demande. Il est en effet exclu que la procédure puisse aboutir au rejet de la prétention du demandeur avec autorité de la chose jugée (ATF 144 III 462 consid. 3.1). L'action en expulsion pour défaut de paiement du loyer au sens de l’art. 257d CO, selon la procédure de protection dans les cas clairs (art. 257 CPC), présuppose que le bail ait valablement pris fin, puisque l’extinction du bail est une condition du droit à la restitution des locaux (art. 267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à l'art. 257d CO). Cela vaut pour tous les cas où un bail a pris fin en raison d'un congé signifié par le bailleur, y compris en dehors du champ d'application de l’art. 257d CO (TF 4A_551/2016 du 3 novembre 2016 consid. 7). Les conditions de l’art. 257 al. 1 CPC s'appliquent également à la question préjudicielle de la validité du congé (ATF 144 III 462 consid. 3.1 et 3.3.1 ; ATF 142 III 515 consid. 2.2.4 in fine ; ATF 141 III 262 consid. 3.2 in fine ; TF 4A_234/2022 du 21 novembre 2022 consid. 4.1.1 ; TF 4A_376/2021 du 7 janvier 2022 consid. 4.2.1, RSPC 2022 p. 254). Ainsi, si la validité de la résiliation du bail est claire, le juge peut procéder (TF 4A_422/2020 du 2 novembre 2020 consid. 4.3).</w:t>
      </w:r>
    </w:p>
    <w:p>
      <w:r>
        <w:t>- 10 -</w:t>
      </w:r>
    </w:p>
    <w:p>
      <w:r>
        <w:rPr>
          <w:b/>
        </w:rPr>
        <w:t>E. 4.3</w:t>
      </w:r>
    </w:p>
    <w:p>
      <w:r>
        <w:t>La procédure des cas clairs exige que les faits et le droit soient clairs, pas que les parties aient des idées claires de leurs droits et devoirs. En l’espèce, la nouvelle bailleresse, après achat de l'immeuble, a résilié le bail qu'elle avait repris, après avoir requis en vain des sûretés de la locataire. La locataire n'a pas entrepris de contester ce congé en justice (jugement entrepris, p. 3, ch. 5. b). L'expulsion du locataire en cas de résiliation du bail est un cas typique de cas clair (cf. parmi d’autres : CACI</w:t>
      </w:r>
    </w:p>
    <w:p>
      <w:r>
        <w:rPr>
          <w:b/>
        </w:rPr>
        <w:t>E. 5.1</w:t>
      </w:r>
    </w:p>
    <w:p>
      <w:r>
        <w:t>L'appelante soutient ensuite que même si on admet que la situation est claire, l'absence de constitution de sûretés ne saurait justifier une résiliation extraordinaire de bail au sens de l'art. 257f al. 3 CO. Elle reconnaît que le Tribunal fédéral et la doctrine majoritaire admettaient l’application de cette disposition lorsque le locataire ne concluait pas</w:t>
      </w:r>
    </w:p>
    <w:p>
      <w:r>
        <w:t>- 12 - d'assurance RC ou ne fournissait pas les sûretés prévues par le contrat. Il s'agissait toutefois selon elle d'un « cas très particulier » où le bailleur pouvait unilatéralement exiger des sûretés d'un locataire « qui en était exempté ». Là encore, on ne pouvait pas admettre que la demande de sûretés puisse se faire par simple courrier. Le congé serait donc nul respectivement inefficace. L'appelante relève aussi qu'elle a toujours payé son loyer et « invoque la compensation, dans la mesure où depuis début décembre 2024, le chauffage (et l'électricité) ne fonctionnent pas, rendant le logement inhabitable, ce qui pourrait laisser penser à des actes de justice propre ».</w:t>
      </w:r>
    </w:p>
    <w:p>
      <w:r>
        <w:rPr>
          <w:b/>
        </w:rPr>
        <w:t>E. 5.2</w:t>
      </w:r>
    </w:p>
    <w:p>
      <w:r>
        <w:t>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 les baux d'habitation et de locaux commerciaux peuvent être résiliés moyennant un délai de congé minimum de 30 jours pour la fin d'un mois. La résiliation prévue par l'art. 257f al. 3 CO suppose la réalisation des cinq conditions cumulatives suivantes: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(TF 4A_468/2020 du 9 février 2021 consid. 4. 1). Le comportement du locataire (condition n° 1) doit constituer une violation de son devoir de diligence ou un usage de la chose en violation des stipulations du contrat (ATF 132 III 109 consid. 5 ; ATF 123 III 124 consid. 2a). Le manquement reproché au locataire doit atteindre une</w:t>
      </w:r>
    </w:p>
    <w:p>
      <w:r>
        <w:t>- 13 - certaine gravité (ATF 134 III 300 consid. 3.1). Il convient de déterminer en l'espèce si le fait de ne pas conclure ou attester de la conclusion d'une assurance de responsabilité civile est une violation grave du contrat (TF 4A_468/2020 précité consid. 4. 1. 1). Il est généralement admis en doctrine que la violation par le locataire de son obligation de fournir des sûretés lorsque le contrat le prévoit, l'expose à la résiliation anticipée du bail sur la base de l'art. 257f al. 3 CO (Higi, in Zürcher Kommentar, 5e éd. 2019, n. 13 ad art. 257e CO ; Lachat, in Commentaire romand, 2e éd. 2012, n. 8 ad art. 257e CO ; Lachat, Le bail à loyer, 2019, n. 1.3 p. 866, et 3.1.4 p. 885 ; Marchand, in Commentaire pratique bail, 2e éd. 2017, n. 12 ad art. 257e CO ; Wyttenbach, in Mietrecht fur die Praxis, 9e éd. 2016, n. 15.2.6). La violation de l'obligation de conclure une assurance par le locataire faisant peser sur le bailleur un risque supérieur à celui de la violation de fournir des sûretés, il se justifie en tout cas que la première violation expose le locataire à la résiliation anticipée fondée sur l'art. 257f al. 3 CO (TF 4A_468/2020 précité consid. 4.1.1). Le manquement du locataire qui omet de conclure une assurance de responsabilité civile ou qui refuse d'en transmettre une attestation expose donc le bailleur à un risque de dommage important et revêt par conséquent un caractère grave (TF 4A_468/2020 précité consid. 4. 1. 1). La conclusion d'une assurance RC poursuit un but similaire à la constitution de sûretés (ibidem). L'application de l'art. 257f al. 3 CO suppose que la violation par le locataire de son devoir de diligence rende le maintien du contrat insupportable pour le bailleur (condition n° 4). Comme la résiliation doit respecter les principes de la proportionnalité et de la subsidiarité, il faut en effet que le maintien du bail soit insupportable pour le bailleur. Cette question doit être résolue à la lumière de toutes les circonstances de l'espèce, antérieures à la résiliation du bail. Elle relève du pouvoir d'appréciation du juge (art. 4 CC). Il convient de déterminer si l'absence d'assurance de responsabilité civile du locataire est une violation du</w:t>
      </w:r>
    </w:p>
    <w:p>
      <w:r>
        <w:t>- 14 - contrat propre à rendre la continuation du bail insupportable au bailleur (TF 4A_468/2020 précité consid. 4. 1. 2).</w:t>
      </w:r>
    </w:p>
    <w:p>
      <w:r>
        <w:rPr>
          <w:b/>
        </w:rPr>
        <w:t>E. 5.3</w:t>
      </w:r>
    </w:p>
    <w:p>
      <w:r>
        <w:t>Les arrêts rendus en la matière jusqu’à ce jour permettent de retenir que la non-fourniture des sûretés prévues par le contrat autorise le bailleur à résilier le contrat en application de cette disposition. Le changement de bailleur intervenu en l’espèce ne rend pas le cas présent si particulier qu’il exclurait l’application de cette jurisprudence. Il est inexact de soutenir que l’appelante était « exemptée » de sûretés à la signature du bail, puisqu'il était exigé d'elle, soit qu'elle souscrive à l'assurance collective – qui pouvait refuser de l'assurer – soit qu'elle fournisse des sûretés en espèces. La fin de cette assurance en cours de contrat a d'emblée été envisagée et la conséquence prévue. En effet, le chiffre 5 du contrat prévoit non seulement que les sûretés en espèces doivent, dans cette hypothèse, être constituées à première demande, mais aussi que le bail peut être résilié si tel n'est pas le cas. Les allégations factuelles de l’appelante, censées établies par les pièces nouvelles, selon lesquelles le chauffage et l'électricité ont été coupées par mesure de rétorsion à son refus de quitter l’immeuble n'y changent rien, l’appelante conservant la possibilité de déposer une éventuelle demande de baisse de loyer ou d'indemnisation devant le tribunal des baux. L’appelante ne peut pas invoquer aujourd'hui en appel la compensation d'une éventuelle créance née en décembre 2024, au demeurant non chiffrée, pour invalider rétroactivement une résiliation de bail fondée sur une créance relative à la fourniture de sûretés qui, à l'époque, existait. Ce grief doit être rejeté.</w:t>
      </w:r>
    </w:p>
    <w:p>
      <w:r>
        <w:rPr>
          <w:b/>
        </w:rPr>
        <w:t>E. 6</w:t>
      </w:r>
    </w:p>
    <w:p>
      <w:r>
        <w:t>Au vu de ce qui précède, l’appel, manifestement infondé, doit être rejeté en application de l’art. 312 al. 1 in fine CPC et le jugement confirmé.</w:t>
      </w:r>
    </w:p>
    <w:p>
      <w:r>
        <w:t>- 15 - Les frais judiciaires de deuxième instance, arrêtés à 1'991 fr. (art. 62 al. 1 TFJC [tarif des frais judiciaires civils du 28 septembre 2010 ; BLV 270.11.5]), seront mis à la charge de l’appelante, qui succombe (art. 106 al. 1 CPC).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