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XZ23.053884 vom 2. September 2025</w:t>
      </w:r>
    </w:p>
    <w:p>
      <w:r>
        <w:t>VD Tribunal cantonal, 2025-09-02, FR</w:t>
      </w:r>
    </w:p>
    <w:p>
      <w:r>
        <w:rPr>
          <w:b/>
        </w:rPr>
        <w:t xml:space="preserve">Quelle: </w:t>
      </w:r>
      <w:r>
        <w:t>https://mcp.opencaselaw.ch/entscheid/vd_gerichte_XZ23.053884</w:t>
      </w:r>
    </w:p>
    <w:p>
      <w:r>
        <w:t>FR: VD_GERICHTE XZ23.053884 du 2 septembre 2025</w:t>
      </w:r>
    </w:p>
    <w:p>
      <w:r>
        <w:t>IT: VD_GERICHTE XZ23.053884 del 2 settembre 2025</w:t>
      </w:r>
    </w:p>
    <w:p>
      <w:pPr>
        <w:pStyle w:val="Heading2"/>
      </w:pPr>
      <w:r>
        <w:t>Erwägungen</w:t>
      </w:r>
    </w:p>
    <w:p>
      <w:r>
        <w:rPr>
          <w:b/>
        </w:rPr>
        <w:t>E. 2</w:t>
      </w:r>
    </w:p>
    <w:p>
      <w:r>
        <w:t>CPC) que le montant précité était dû ne peut être confirmé. Le recours doit ici être admis et la décision réformée en ce sens que ce montant est déduit de celui dû par les recourants. Dans ces conditions, la question de savoir si les recourants pouvaient invoquer la prescription dans leur recours seulement peut rester ouverte. 4.7 Les recourants contestent devoir un montant de 877 fr. 50 à titre de réfection du parquet. A cet égard, l'autorité précédente a constaté que le dégât en question était mentionné sur la convention de sortie, si bien selon elle que les recourants reconnaissaient leur responsabilité à cet égard. Il était par ailleurs établi par le témoignage de la gérante B.T.________ que l'appartement avait été refait à l'entrée des recourants. Vu le parquet et les Tabelles d'amortissement déterminant la durée de vie moyenne des</w:t>
      </w:r>
    </w:p>
    <w:p>
      <w:r>
        <w:t>- 20 - installations, les intimés sollicitaient à raison un montant de 877 fr. 50, soit 1'300 de frais / 40 x (40 ans - 13 ans). En l'occurrence, les intimés, par leur gérance, ont établi un décompte le 16 mai 2023 dans lequel ils indiquaient « réfection du parquet suite dégât d'eau dans le bureau (datait de janvier 2009) », par 877 fr. 50. A cette date, les recourants n'avaient pas même conclu le contrat de bail. Ils ne sauraient par conséquent être considérés comme responsables d'un tel dégât, ce même si la convention de sortie, antérieure au courrier du 16 mai 2023 et qui mentionnait de nombreux points, indiquait un « parquet décollé ... dégât d'eau ». Les intimés se réfèrent en vain aux pièces 26 et 27 pour soutenir que le parquet a été « remis à neuf avant l'entrée » des recourants dans le logement cette même année. La pièce 26 contient de nombreuses pièces. Faute de précision, le grief est insuffisamment motivé. La pièce 27 est composée de photos dont la date de prise est certes alléguée mais non prouvée. Dans ces conditions, ces pièces ne prouvent pas que le défaut, que les intimés eux-mêmes indiquaient avoir été causé avant l'entrée des recourants dans l'appartement, aurait été causé par eux. Au vu de ces éléments contradictoires, le courrier du 16 mai 2023 étant au surplus postérieur à la convention de sortie dont on ne sait qui l'a rédigé, et compte tenu du fardeau de la preuve du dégât, de sa date de réalisation et de son imputation aux recourants qui repose sur les intimés, force est de constater que ceux-ci n'apportent pas ces preuves. La somme de 877 fr. 50 ne peut ainsi être considérée comme due. Le recours doit être admis sur ce point et la somme précitée déduite des montants mis à la charge des recourants. 4.8 Les recourants contestent le montant de 282 fr. 20 mis à leur charge pour des travaux de sanitaire. Ils reprochent au Tribunal des baux, faute que la facture indique les prix précis des différents objets, de les avoir estimés et d'avoir ainsi complété l'allégation des intimés.</w:t>
      </w:r>
    </w:p>
    <w:p>
      <w:r>
        <w:t>- 21 - C'est ici oublier que la procédure applicable en première instance était la procédure simplifiée qui imposait au Tribunal des baux d'établir les faits d'office (art. 247 al. 2 let. b ch. 1 CPC). Il était donc en droit de procéder à une telle estimation. Faute pour les recourants d'en contester le bienfondé au surplus, le grief ne peut qu'être rejeté. 4.9 Les recourants contestent devoir un montant de 250 fr. 40 pour la dépréciation de deux dalles de balcon présentant une tache « très certainement provoquée par un pot de fleurs ». Le Tribunal des baux avait écarté un autre dommage invoqué sur les autres dalles en retenant que les taches avaient été causées par de l'humidité. Les recourants estiment que les deux taches n'étaient pas différenciables et que par conséquent le dommage invoqué aurait dû être écarté dans sa totalité. Dès lors qu'ils se réfèrent à la qualité « a priori de basse qualité et exposé aux intempéries », sans indiquer de preuve en attestant, le grief est irrecevable. Le Tribunal des baux a à juste titre écarté le dommage dû à l'humidité : en effet, si les recourants pouvaient être tenus d'enlever des taches qu'ils ont causées, ils n'étaient pas responsables de problèmes d'humidité imputables à l'immeuble. Cela dit, les deux photos au dossier, produites sous pièce 8, montrent l'une l'entier des dalles tachées clairement par l'humidité et l'autre deux dalles avec une forme ronde les chevauchant. On ne voit toutefois pas que cette forme soit une tache, il apparaît plutôt que le pot qui était dessus a permis de préserver les deux dalles de l'humidité. On ne saurait dès lors retenir un dommage du fait de cette « marque ». Le grief doit par conséquent être admis et le montant réclamé à titre forfaitaire pour les dalles tachées sur le balcon rejeté dans son entier.</w:t>
      </w:r>
    </w:p>
    <w:p>
      <w:r>
        <w:rPr>
          <w:b/>
        </w:rPr>
        <w:t>E. 5</w:t>
      </w:r>
    </w:p>
    <w:p>
      <w:r>
        <w:t>Au vu ce qui précède, le recours doit être partiellement admis et le chiffre I du dispositif du jugement querellé réformé en ce sens que le</w:t>
      </w:r>
    </w:p>
    <w:p>
      <w:r>
        <w:t>- 22 - montant dû par les recourants aux intimés est ramené de 9'889 fr. 90 à 3'935 fr. (soit 9'889 fr. 90 - 4'827 fr. - 877 fr. 50 - 250 fr. 40).</w:t>
      </w:r>
    </w:p>
    <w:p>
      <w:r>
        <w:rPr>
          <w:b/>
        </w:rPr>
        <w:t>E. 5.1</w:t>
      </w:r>
    </w:p>
    <w:p>
      <w:r>
        <w:t>Le jugement querellé ayant été rendu sans frais judiciaires ni dépens, il n’y a pas lieu de revenir sur les frais de première instance.</w:t>
      </w:r>
    </w:p>
    <w:p>
      <w:r>
        <w:rPr>
          <w:b/>
        </w:rPr>
        <w:t>E. 5.2</w:t>
      </w:r>
    </w:p>
    <w:p>
      <w:r>
        <w:t>Les recourants avaient conclu à être condamnés à verser la somme de 2'865 fr. en lieu et place de 9'889 fr. 90. Ils doivent finalement le montant de 3'935 fr., de sorte qu’ils ont gagné à hauteur de 6/7 et succombé à hauteur de 1/7. Les frais judiciaires de deuxième instance, arrêtés à 400 fr. (art. 69 al. 1 et 70 al. 1 TFJC [tarif des frais judiciaires civils du 28 septembre 2010 ; BLV 270.11.5]), sont par conséquent mis à la charge des recourants, solidairement entre eux, à hauteur de 58 fr. et à la charge des intimés, solidairement entre eux, à hauteur de 342 francs. Les recourants ayant avancé 400 fr., le montant de 342 fr. leur sera remboursé par l’Etat (art. 111 al. 1, 2e phrase, CPC).</w:t>
      </w:r>
    </w:p>
    <w:p>
      <w:r>
        <w:rPr>
          <w:b/>
        </w:rPr>
        <w:t>E. 5.3</w:t>
      </w:r>
    </w:p>
    <w:p>
      <w:r>
        <w:t>Les pleins dépens de deuxième instance peuvent être arrêtés à 1'000 fr. pour l’avocat des recourants et à 500 fr. pour l’agent d’affaires breveté des intimés. Vu le ratio qui précède, les intimés, solidairement entre eux, doivent aux recourants, solidairement entre eux, un montant arrondi de 786 fr. (6/7 de 1'000 fr. – 1/7 de 500 fr. ; 857 fr. – 71 fr.) à titre de dépens réduits de deuxième instance. Par ces motifs, la Chambre des recours civile du Tribunal cantonal, prononce : I. Le recours est partiellement admis. II. Le jugement est réformé comme il suit au chiffre I de son dispositif :</w:t>
      </w:r>
    </w:p>
    <w:p>
      <w:r>
        <w:t>- 23 - I. Les défendeurs Q.________ et J.________, solidairement entre eux, doivent payer aux demandeurs A.X.________, B.X.________, C.X.________ et B.________, solidairement entre eux, la somme de 3’935 fr. (trois mille neuf cent trente-cinq francs) avec intérêts à 5 % l’an dès le 17 juin 2023. Il est confirmé pour le surplus. III. Les frais judiciaires de deuxième instance, arrêtés à 400 fr. (quatre cents francs), sont mis à la charge des recourants Q.________ et J.________, solidairement entre eux, par 58 fr. (cinquante-huit francs) et à la charge des intimés A.X.________, B.X.________, C.X.________ et B.________, solidairement entre eux, par 342 fr. (trois cent quarante-deux francs). IV. Les intimés A.X.________, B.X.________, C.X.________ et B.________, solidairement entre eux, doivent aux recourants Q.________ et J.________, solidairement entre eux, la somme de 786 fr. (sept cent quatre-vingt-six francs) à titre de dépens réduits de seconde instance. V. L’arrêt est exécutoire. Le président : La greffière :</w:t>
      </w:r>
    </w:p>
    <w:p>
      <w:r>
        <w:t>- 24 - Du L'arrêt qui précède, dont la rédaction a été approuvée à huis clos, est notifié à : - Me Christian Favre, avocat (pour les recourants Q.________ et J.________), - M. Jacques Lauber, agent d’affaires breveté (pour les intimés A.X.________, B.X.________, C.X.________ et B.________).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