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XZ22.002298 vom 27. April 2022</w:t>
      </w:r>
    </w:p>
    <w:p>
      <w:r>
        <w:t>VD Tribunal cantonal, 2022-04-27, FR</w:t>
      </w:r>
    </w:p>
    <w:p>
      <w:r>
        <w:rPr>
          <w:b/>
        </w:rPr>
        <w:t xml:space="preserve">Quelle: </w:t>
      </w:r>
      <w:r>
        <w:t>https://mcp.opencaselaw.ch/entscheid/vd_gerichte_XZ22.002298</w:t>
      </w:r>
    </w:p>
    <w:p>
      <w:r>
        <w:t>FR: VD_GERICHTE XZ22.002298 du 27 avril 2022</w:t>
      </w:r>
    </w:p>
    <w:p>
      <w:r>
        <w:t>IT: VD_GERICHTE XZ22.002298 del 27 aprile 2022</w:t>
      </w:r>
    </w:p>
    <w:p>
      <w:pPr>
        <w:pStyle w:val="Heading2"/>
      </w:pPr>
      <w:r>
        <w:t>Erwägungen</w:t>
      </w:r>
    </w:p>
    <w:p>
      <w:r>
        <w:rPr>
          <w:b/>
        </w:rPr>
        <w:t>E. 1</w:t>
      </w:r>
    </w:p>
    <w:p>
      <w:r>
        <w:t>Par décision du 23 février 2022, notifiée le 2 mars 2022 à Z.________, la Présidente du Tribunal des baux (ci-après : l’autorité précédente) a constaté que Z.________ n’avait pas rectifié son acte dans le délai imparti, en particulier qu’il n’avait pas produit l’autorisation de procéder requise, et l’a dès lors informé que son acte était irrecevable. Elle a ainsi rayé la cause du rôle, sans frais.</w:t>
      </w:r>
    </w:p>
    <w:p>
      <w:r>
        <w:rPr>
          <w:b/>
        </w:rPr>
        <w:t>E. 2</w:t>
      </w:r>
    </w:p>
    <w:p>
      <w:r>
        <w:t>Par acte adressé à l’autorité précédente du 28 mars 2022, posté le même jour, Z.________ (ci-après : l’appelant) s’est d’abord excusé « pour l’absence », en évoquant des « médoc pour calmer et dormir recette en annexe ». Plus loin, il a encore mentionné que « Donc oui je fais appel pour poursuivre cette procédure ». Diverses annexes ont été produites avec le courrier.</w:t>
      </w:r>
    </w:p>
    <w:p>
      <w:r>
        <w:rPr>
          <w:b/>
        </w:rPr>
        <w:t>E. 3.1.1</w:t>
      </w:r>
    </w:p>
    <w:p>
      <w:r>
        <w:t>L’appel est recevable contre les décisions finales de première instance (art. 308 al. 1 let. a CPC [Code de procédure civile du 19 décembre 2010 ; RS 272]), dans les causes non patrimoniales et dans les causes patrimoniales dont la valeur litigieuse au dernier état des conclusions est de 10'000 fr. au moins (art. 308 al. 2 CPC).</w:t>
      </w:r>
    </w:p>
    <w:p>
      <w:r>
        <w:rPr>
          <w:b/>
        </w:rPr>
        <w:t>E. 3.1.2</w:t>
      </w:r>
    </w:p>
    <w:p>
      <w:r>
        <w:t>Le délai pour l’introduction de l’appel est de trente jours à compter de la notification de la décision motivée (art. 311 al. 1 CPC). L’appel doit être introduit auprès de l’instance d’appel (art. 311 al. 1 CPC). Selon le Tribunal fédéral, appliquant l’art. 48 al. 3 LTF (Loi du 17 juin 2005 sur le Tribunal fédéral ; RS 173.110) par analogie, le délai d'appel est aussi respecté lorsque l'acte d’appel est acheminé en</w:t>
      </w:r>
    </w:p>
    <w:p>
      <w:r>
        <w:t>- 3 - temps utile auprès de l'autorité précédente (judex a quo), qui doit transmettre sans délai l'acte à l'autorité de deuxième instance (ATF 140 III 636 consid. 3.7). Cela étant, le principe de la validité du recours déposé en temps utile auprès d'une autorité incompétente ne saurait trouver application que si la saisine de l'autorité incompétente est le résultat des doutes que la partie peut éprouver sur l'autorité compétente ou de fausses indications sur les voies de droit ou d'indications peu claires et non si c'est consciemment que le recourant saisit une fausse autorité (TF 2C_610/2010 du 21 janvier 2011 consid. 2.5 et les réf. citées ; CACI 21 juillet 2020/314 consid. 2.1).</w:t>
      </w:r>
    </w:p>
    <w:p>
      <w:r>
        <w:rPr>
          <w:b/>
        </w:rPr>
        <w:t>E. 3.2</w:t>
      </w:r>
    </w:p>
    <w:p>
      <w:r>
        <w:t>En l’espèce, déposé en temps utile auprès de l’autorité précédente par une partie qui a un intérêt digne de protection (art. 59 al. 2 let. a CPC), l’appel est recevable à cet égard.</w:t>
      </w:r>
    </w:p>
    <w:p>
      <w:r>
        <w:rPr>
          <w:b/>
        </w:rPr>
        <w:t>E. 4.1.1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 5A_209/2014 du 2 septembre 2014 consid. 4.2.1 ; TF 4A_101/2014 du 26</w:t>
      </w:r>
    </w:p>
    <w:p>
      <w:r>
        <w:t>- 4 - juin 2014 consid. 3.3). Les exigences de motivation doivent aussi être observées dans les procédures soumises à la maxime inquisitoire (ATF 138 III 374 précité). En outre, à l'instar de l'acte introductif d'instance, l'acte d'appel doit contenir des conclusions au fond. Il faut donc que l'appelant explicite dans quelle mesure la décision attaquée doit être modifiée ou annulée (ATF 137 III 617 consid. 4.2.2, JdT 2014 II 187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précité consid. 4.3 et 6.1 ; TF 5A_775/2018 du 15 avril 2019 consid. 3.4).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 TF 4A_426/2019 du 12 septembre 2019 consid. 5.1 ; JdT 2012 III 23). S'agissant de conclusions pécuniaires, l'appel doit en outre contenir des conclusions chiffrées (ATF 137 III 617 précité consid. 4 ; TF 5A_978/2018 précité op. cit.).</w:t>
      </w:r>
    </w:p>
    <w:p>
      <w:r>
        <w:rPr>
          <w:b/>
        </w:rPr>
        <w:t>E. 4.1.2</w:t>
      </w:r>
    </w:p>
    <w:p>
      <w:r>
        <w:t>Il ne saurait être remédié à un défaut de motivation ou à des conclusions déficientes par la fixation d'un délai de l'art. 132 CPC, de tels vices n'étant pas d'ordre purement formel et affectant l'appel de façon irréparable (ATF 137 III 617 précité consid. 6.4). Il peut toutefois être remédié à des conclusions formellement déficientes, lorsqu'on comprend à la lecture de la motivation ce que demande l'appelant, respectivement à quel montant il prétend (ATF 137 III 617 précité consid. 6.2 ; Colombini,</w:t>
      </w:r>
    </w:p>
    <w:p>
      <w:r>
        <w:t>- 5 - CPC Condensé de jurisprudence, 2018, n. 9.3.1 ad art. 311 CPC et les réf. citées).</w:t>
      </w:r>
    </w:p>
    <w:p>
      <w:r>
        <w:rPr>
          <w:b/>
        </w:rPr>
        <w:t>E. 4.1.3</w:t>
      </w:r>
    </w:p>
    <w:p>
      <w:r>
        <w:t>Enfin, l'appel doit contenir la désignation des parties ; si la partie désignée par l'appelant ne possède pas la légitimation passive, le juge ne peut statuer sur l'action et l'appel doit être rejeté, d'où l'importance de la mention des parties (ATF 138 III 213 consid. 2.3).</w:t>
      </w:r>
    </w:p>
    <w:p>
      <w:r>
        <w:rPr>
          <w:b/>
        </w:rPr>
        <w:t>E. 4.2</w:t>
      </w:r>
    </w:p>
    <w:p>
      <w:r>
        <w:t>En l’espèce, l’appelant a déposé un acte sans toutefois mentionner la partie adverse. Par ailleurs, l’appelant a uniquement indiqué s’excuser « pour l’absence », en évoquant notamment des « médoc pour calmer et dormir recette en annexe » et en indiquant que « Donc oui je fais appel pour poursuivre cette procédure », sans aucune autre indication. Au vu de la jurisprudence qui précède, il n’est pas possible d’accorder à l’appelant un délai supplémentaire pour compléter sa motivation ou ses conclusions, le vice étant irrémédiable. Il s’ensuit que dès lors que l’acte d’appel ne contient pas de critique ciblée à l’encontre de la décision entreprise ni de conclusions compréhensibles en relation avec la décision querellée, il s’avère irrecevable.</w:t>
      </w:r>
    </w:p>
    <w:p>
      <w:r>
        <w:rPr>
          <w:b/>
        </w:rPr>
        <w:t>E. 5</w:t>
      </w:r>
    </w:p>
    <w:p>
      <w:r>
        <w:t>En définitive, l’appel doit être déclaré irrecevable selon le mode procédural de l’art. 312 al. 1 CPC. Le présent arrêt peut être rendu sans frais judiciaires (art. 11 TFJC [tarif des frais judiciaires civils du 28 septembre 2010 ; BLV 270.11.5]).</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