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XZ21.035337 vom 3. April 2025</w:t>
      </w:r>
    </w:p>
    <w:p>
      <w:r>
        <w:t>VD Tribunal cantonal, 2025-04-03, FR</w:t>
      </w:r>
    </w:p>
    <w:p>
      <w:r>
        <w:rPr>
          <w:b/>
        </w:rPr>
        <w:t xml:space="preserve">Quelle: </w:t>
      </w:r>
      <w:r>
        <w:t>https://mcp.opencaselaw.ch/entscheid/vd_gerichte_XZ21.035337</w:t>
      </w:r>
    </w:p>
    <w:p>
      <w:r>
        <w:t>FR: VD_GERICHTE XZ21.035337 du 3 avril 2025</w:t>
      </w:r>
    </w:p>
    <w:p>
      <w:r>
        <w:t>IT: VD_GERICHTE XZ21.035337 del 3 aprile 2025</w:t>
      </w:r>
    </w:p>
    <w:p>
      <w:pPr>
        <w:pStyle w:val="Heading2"/>
      </w:pPr>
      <w:r>
        <w:t>Erwägungen</w:t>
      </w:r>
    </w:p>
    <w:p>
      <w:r>
        <w:rPr>
          <w:b/>
        </w:rPr>
        <w:t>E. 3</w:t>
      </w:r>
    </w:p>
    <w:p>
      <w:r>
        <w:t>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w:t>
      </w:r>
    </w:p>
    <w:p>
      <w:r>
        <w:t>- 16 -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3.1</w:t>
      </w:r>
    </w:p>
    <w:p>
      <w:r>
        <w:t>L’appelante fait grief aux premiers juges d’avoir considéré que seule S.________ Sàrl était partie à la relation contractuelle de bail, de sorte que la demande déposée le 28 juillet 2021 contre l’intimé devait être rejetée, faute de légitimation passive.</w:t>
      </w:r>
    </w:p>
    <w:p>
      <w:r>
        <w:rPr>
          <w:b/>
        </w:rPr>
        <w:t>E. 3.2</w:t>
      </w:r>
    </w:p>
    <w:p>
      <w:r>
        <w:t>Les premiers juges ont considéré qu'il n'y avait de véritable colocation qu'en cas de volonté claire des parties à ce sujet (Bohnet/Dietschy-Martenet, Commentaire pratique du droit de bail à loyer et à ferme, Bail 2017, n. 26 ad art. 253 CO [(loi fédérale du 30 mars 1911 complétant le Code civil suisse ; RS 220]) et que la solidarité entre plusieurs débiteurs n'existait que lorsqu'ils déclaraient s'obliger solidairement à l'égard du créancier (art. 143 al. 1 CO) ou lorsque le cas était prévu par la loi (art. 143 al. 2 CO). En l'espèce, étant précisé que l’intimé et S.________ Sàrl ne formaient pas une société simple, la signature de l’intimé en son nom propre sur le premier contrat, qui n'était pas en cause, n'emportait aucune conséquence juridique. Il n'avait signé qu'une seule fois le second contrat, qui ne prévoyait pas de solidarité, ni aucune autre forme de cautionnement. Dès lors, les premiers juges ont estimé qu’il ne pouvait être retenu d'emblée que l’intimé avait voulu s'engager personnellement, et que du reste, un tel engagement aurait sans doute été un cautionnement nul pour vice de forme, dès lors que seule la société entendait exercer une activité dans les locaux litigieux. Ceux-ci étaient destinés à un bureau de placement, ce qui relevait du but de S.________ Sàrl. L'adresse de notification prévue dans le contrat était celle de la société et le procès-verbal d'entrée/sortie établi le 24 décembre 2020 par la régie ne mentionnait que S.________ Sàrl en tant que locataire sortante. A cela s'ajoutait que le contrat de location suivant avait été signé deux fois par Z.________, pour lui-même et sa société, l’appelante ayant requis une sûreté personnelle, dont la validité était d'ailleurs douteuse. Si tel avait été le cas dans le cadre du premier contrat conclu entre les parties et S.________ Sàrl, il aurait fallu considérer que l’appelante, dont la régie avait elle-même établi le bail, avait « expressément renoncé » à une telle garantie. Les premiers juges ont donc déduit que l’intimé n'était pas partie au contrat de bail litigieux.</w:t>
      </w:r>
    </w:p>
    <w:p>
      <w:r>
        <w:t>- 14 -</w:t>
      </w:r>
    </w:p>
    <w:p>
      <w:r>
        <w:rPr>
          <w:b/>
        </w:rPr>
        <w:t>E. 3.3</w:t>
      </w:r>
    </w:p>
    <w:p>
      <w:r>
        <w:t>On peut relever d’emblée que le jugement contient une contradiction. Dans les faits, il est en effet retenu que le 4 août 2017, l’appelante en tant que bailleresse, S.________ Sàrl et l’intimé en tant que locataires ont conclu un nouveau contrat de bail à loyer portant sur des locaux de 96 m2 au rez-de-chaussée du centre V.________. Or, dans le droit, les premiers juges ont considéré que seule S.________ Sàrl était la locataire. Les faits retenus en première instance ont été maintenus, au vu de l’issue de la procédure d’appel. Ils ont été toutefois complétés, respectivement précisés, s’agissant de la page de garde du contrat litigieux et de la dernière page de celui-ci. Cela étant, il s’agit d’examiner successivement si l’intimé était partie au contrat litigieux (cf. consid. 3.4.2 infra), ce qu’ont nié les premiers juges ; ensuite, dans l’affirmative, s’il s’agissait d’un cautionnement nul pour des raisons de forme (cf. consid. 3.4.3 infra), ce qu’ont laissé entendre les premiers juges ; et enfin, si l’intimé était véritablement colocataire, s’il était tenu solidairement par les obligations découlant du contrat (cf. consid. 3.4.4 infra).</w:t>
      </w:r>
    </w:p>
    <w:p>
      <w:r>
        <w:rPr>
          <w:b/>
        </w:rPr>
        <w:t>E. 3.4.1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JdT 2006 I 564, SJ 2006 I 359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w:t>
      </w:r>
    </w:p>
    <w:p>
      <w:r>
        <w:t>- 15 -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 citées ; TF 4A_614/2023 du</w:t>
      </w:r>
    </w:p>
    <w:p>
      <w:r>
        <w:rPr>
          <w:b/>
        </w:rPr>
        <w:t>E. 3.4.2</w:t>
      </w:r>
    </w:p>
    <w:p>
      <w:r>
        <w:t>Du point de vue de l’interprétation subjective, on relève que le contrat litigieux venait remplacer un précédent contrat, daté du 20 novembre 2015, portant sur des locaux dans le même immeuble. Selon les faits retenus par les premiers juges, il a été convenu de mettre fin à ce premier contrat de bail « pour que ces derniers [les locataires, réd.] puissent prendre un autre local commercial dans le centre V.________» (jugement, p. 3). Les locaux concernés par le premier bail étaient en effet</w:t>
      </w:r>
    </w:p>
    <w:p>
      <w:r>
        <w:t>- 17 - destinés à devenir l’entrée de la tour, raison pour laquelle ces locaux avaient fait l’objet d’un bail de durée déterminée, qui a été résilié d’un commun accord, en relation avec la passation du contrat litigieux. Dans ces conditions, on ne voit guère que l’intimé, partie au premier contrat, ne le serait pas au second. Il n’y a par ailleurs aucun élément, du point de vue de l’interprétation subjective, qui irait dans ce sens. Dans la mesure où, toutefois, la réelle et commune intention des parties n’est pas suffisamment établie, on doit se fonder sur une interprétation objective. A cet égard, on constate que la page de garde du contrat litigieux, daté du 4 août 2017, exprime de manière parfaitement claire que celui-ci est conclu entre l’appelante, représentée par la régie, et deux locataires, dont l’intimé. Le nom de ce dernier figure aussi à la fin du contrat. Sous la rubrique « le locataire » figurent en effet le nom de la société et celui de l’intimé. La signature de celui-ci occupe l’entier de l’espace sous les deux noms. Toute partie à ce contrat devait raisonnablement comprendre que l’intimé était partie à ce contrat, aux côtés de S.________ Sàrl. On remarque d’ailleurs que s’il fallait, comme les premiers juges, accorder tant d’importance au fait que l’intimé a signé une seule fois, on pourrait aussi soutenir qu’il était le seul locataire. Les deux analyses aboutissent incontestablement à la conclusion que l’intimé s’est engagé en son nom propre, aux côtés de S.________ Sàrl. A l’appui de leur solution, consistant à exclure l’intimé de la relation contractuelle, les premiers juges exposent que le contrat ne prévoit pas de solidarité « ni aucune autre forme valable de cautionnement, comme le garant » (sic). Ce raisonnement est insoutenable, car le fait qu’un contrat de bail ne prévoie pas de solidarité entre les colocataires ne signifie pas encore qu’il n'y a qu'un seul locataire. L’existence d'un cautionnement ou d'une garantie, que l'on examinera plus loin, est quant à elle une question différente de celle de savoir qui est partie au contrat. Les premiers juges ont aussi relevé à l'appui de leur thèse que selon le bail, les locaux étaient destinés à un bureau de</w:t>
      </w:r>
    </w:p>
    <w:p>
      <w:r>
        <w:t>- 18 - placement, ce qui relevait du but social de S.________ Sàrl, et que l'adresse de notification était au siège de cette société. Toutefois, ces éléments ne pèsent que bien peu au regard de l'intitulé parfaitement clair du contrat et des deux noms qui figurent non moins clairement au-dessus de la signature de l'intimé. Il en va de même du fait que l'état des lieux de sortie ne mentionne que la société. Les premiers juges tirent argument également du fait que l'intimé a signé deux fois le premier bail et une seule fois le second. Selon eux, il aurait signé le premier bail parce que la bailleresse exigeait une garantie personnelle, dont la validité serait douteuse, et aurait ensuite « renoncé expressément » à une telle garantie pour le second bail. Or, l’appelante n'a expressément renoncé à rien. C'est l'intimé qui a apposé une seule signature plutôt que deux. Si les parties avaient réellement voulu que le premier bail engage l’intimé mais non le second, elles auraient modifié l'intitulé du second contrat. L'intimé disposait de la signature individuelle de la société, dont il était l'administrateur unique. Il a donc apposé une seule et large signature sur le contrat litigieux, sous son nom propre et celui de la société. Toute personne raisonnable devait comprendre qu'il s'engageait aux côtés de sa société. La solution des premiers juges ne peut pas donc être confirmée ; l'intimé était bien partie au contrat de bail.</w:t>
      </w:r>
    </w:p>
    <w:p>
      <w:r>
        <w:rPr>
          <w:b/>
        </w:rPr>
        <w:t>E. 3.4.3.1</w:t>
      </w:r>
    </w:p>
    <w:p>
      <w:r>
        <w:t>La question suivante, qu’il faut distinguer, est celle de savoir si un tel engagement était valable. Les premiers juges n’ont pas tranché cette question – puisqu’ils ont considéré que l’intimé ne s’était pas engagé – mais ont laissé entendre que même s’il l’avait fait, il s’agirait comme dans le cas du premier bail d’une simple garantie, soit d’un cautionnement qui ne serait pas valable au regard de l’art. 493 CO, faute notamment de forme authentique. Or, ils omettent ainsi d’envisager l’éventualité d’un engagement solidaire.</w:t>
      </w:r>
    </w:p>
    <w:p>
      <w:r>
        <w:rPr>
          <w:b/>
        </w:rPr>
        <w:t>E. 3.4.3.2</w:t>
      </w:r>
    </w:p>
    <w:p>
      <w:r>
        <w:t>Le cautionnement est le contrat par lequel une personne (la caution) s'engage envers le créancier à garantir le paiement de la dette</w:t>
      </w:r>
    </w:p>
    <w:p>
      <w:r>
        <w:t>- 19 - contractée par un tiers, le débiteur principal (art. 492 al. 1 CO). Il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du 31 août 2017 consid. 2.3 ; ATF 129 III 702 consid. 2.1, JdT 2004 I 535 et les réf. citées). Il doit être distingué de la reprise de dette cumulative (art. 143 CO ; ATF 129 III 702 consid. 2.4.1) et du porte-fort (art. 111 CO ; ATF 125 III 305 consid. 2b). Aux termes de l’art. 143 CO, il y a solidarité entre plusieurs débiteurs lorsqu’ils déclarent s’obliger de manière qu’à l’égard du créancier, chacun d’eux soit tenu pour le tout (al. 1). À défaut d’une semblable déclaration, la solidarité n’existe que dans les cas prévus par la loi (al. 2). Le créancier peut, à son choix, exiger de tous les débiteurs solidaires ou de l’un d’eux l’exécution intégrale ou partielle de l’obligation (art. 144 al. 1 CO). Les débiteurs demeurent tous obligés jusqu’à l’extinction totale de la dette (art. 144 al. 2 CO). La solidarité n’est jamais présumée ; elle naît soit par la volonté des parties, soit par la loi (Romy, Commentaire romand, Code des obligations I [ci-après : CR-CO], 3e éd., 2021, n. 5 ad art. 143 CO). La délimitation entre la reprise cumulative de dette et le cautionnement peut être délicate. Dans le cas de l’engagement solidaire ou de la reprise de dette cumulative, le reprenant fait sien l'engagement d'autrui et devient, à ses côtés, le débiteur principal ; cela suppose qu'il ait un intérêt propre et marqué à l'exécution de l'obligation ou qu'il en retire personnellement un avantage (Meier, CR-CO, n. 33 ad art. 492-512 CO ; Tercier, Bieri, Carron, Les contrats spéciaux, 5ème éd., n. 6183 et 5955 p. 859 ; Engel, Traité des obligations en droit suisse, 2ème éd., p. 904). La validité de la reprise de dette n'est subordonnée à aucune forme (ATF 129 III 702 cons. 2.2, JdT 2004 I 535). Un intérêt propre existe aussi lorsque le promettant constitue avec le débiteur une société simple et qu’il s’agit de garantir une affaire conclue en vue d’atteindre le but social. En revanche, il ne suffit pas que le reprenant ne tire qu’un vague avantage de l’affaire.</w:t>
      </w:r>
    </w:p>
    <w:p>
      <w:r>
        <w:t>- 20 - Il doit vouloir visiblement s’engager en vertu de la même cause dans le contrat liant le débiteur principal. A cet égard, le seul fait que le reprenant puisse, selon l’inscription au Registre du commerce, engager la raison individuelle par sa seule signature est insuffisant.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agissaient aux fins de leur propre activité commerciale (TF 4C.24/2007 du 26 avril 2007 consid. 5). La validité de l’engagement solidaire est en outre admise lorsque le débiteur est une société et que le garant y détient une participation (ATF 129 III 702 consid. 2.6 ; TF 4A_403/2022 du 31 janvier 2023 consid. 7.3 ; TF 5A_914/2020 du 28 avril 2021 consid. 3 ; TF 4A_440/2018 du 10 décembre 2018 consid. 6 ; CACI 17 septembre 2024/425). Du point de vue juridique, il faut partir de l’idée que la dette issue du cautionnement et la dette principale diffèrent par leur objet et leur cause. Dans le premier cas, l’obligation est la garantie que le débiteur principal est solvable alors que, dans le second, la cause de l’obligation réside dans le désintéressement du créancier indépendamment du débiteur. En effet, celui qui reprend cumulativement une dette s’oblige comme le débiteur primitif, se range à ses côtés en tant que débiteur solidaire. Contrairement au cas du cautionnement, la sûreté ne constitue pas l’élément essentiel de la cause de l’obligation découlant de la reprise cumulative de dette, même si une telle reprise a toujours un certain effet de garantie (ATF 129 III 702 consid. 2.2, JdT 2004 I 535 ; CPF 29 décembre 2023/241 ; CPF 31 mars 2021/51). La reprise cumulative de dette est en particulier admise en matière de bail (Lachat et al., Le bail à loyer, Lausanne 2019, p. 430). Selon ces auteurs, en l’absence d’une clause claire et précise limitant l’engagement du tiers, ce dernier assume tous les engagements découlant du bail et il est en réalité un colocataire (ibidem). Lachat cite précisément</w:t>
      </w:r>
    </w:p>
    <w:p>
      <w:r>
        <w:t>- 21 - comme étant usuel le cas de l’administrateur d’une société anonyme qui s’engage aux côtés de sa société (op. cit., p. 94). La thèse soutenue par certains de ces colocataires, non-occupants des lieux, pour se soustraire à leurs obligations, selon laquelle ils ne seraient en réalité que des « garants », leur engagement n’équivalant qu’à une reprise cumulative de dette limitée à certains engagements ou à un cautionnement, ne doit selon cet auteur être admise que dans des cas très exceptionnels, lorsque le bailleur savait pertinemment que l’intéressé n’entendait intervenir que comme garant (op. cit. p. 95).</w:t>
      </w:r>
    </w:p>
    <w:p>
      <w:r>
        <w:rPr>
          <w:b/>
        </w:rPr>
        <w:t>E. 3.4.3.3</w:t>
      </w:r>
    </w:p>
    <w:p>
      <w:r>
        <w:t>En l’espèce, l’intimé avait un intérêt direct et évident à la conclusion du contrat de bail. Il était non seulement l’administrateur unique, mais aussi le détenteur de l’entier des parts sociales de S.________ Sàrl, c’est-à-dire son unique ayant-droit économique. Du côté de la bailleresse, on relèvera que le capital social de la société s’élevait à 20'000 fr., alors que le loyer brut était de 4'216 fr. par mois. Dans ces conditions, même si les locaux étaient destinés à un « bureau de placement » – c’est-à-dire qu’ils devaient dans l’esprit des parties être utilisés avant tout par la société –, il est incontestable que l’engagement de l’intimé consistait à tout le moins en une reprise cumulative de dette portant sur l’entier des obligations de la société. On peut même aller plus loin ; puisque l’intimé disposait également des locaux, il lui était parfaitement possible de les exploiter en son nom propre, en tout ou en partie. Il était donc colocataire.</w:t>
      </w:r>
    </w:p>
    <w:p>
      <w:r>
        <w:rPr>
          <w:b/>
        </w:rPr>
        <w:t>E. 3.4.4.1</w:t>
      </w:r>
    </w:p>
    <w:p>
      <w:r>
        <w:t>Reste encore à examiner la question de la solidarité. Il est exact que le bail ne prévoit pas que les locataires sont solidairement responsables. On pourrait donc concevoir que l’intimé serait locataire, mais faute de solidarité, ne serait tenu que de la moitié du loyer.</w:t>
      </w:r>
    </w:p>
    <w:p>
      <w:r>
        <w:rPr>
          <w:b/>
        </w:rPr>
        <w:t>E. 3.4.4.2</w:t>
      </w:r>
    </w:p>
    <w:p>
      <w:r>
        <w:t>En cas de bail commun conclu par plusieurs locataires pour l'usage de la même chose louée, si le contrat ne comporte aucune clause contraire, le bailleur peut réclamer à tous les colocataires ou au colocataire de son choix la totalité du loyer et des frais accessoires, et des</w:t>
      </w:r>
    </w:p>
    <w:p>
      <w:r>
        <w:t>- 22 - indemnités pour occupation illicite (TF 4A_12/2012 du 10 juillet 2012, consid. 2 ; Lachat, op. cit., p. 100 et les réf. citées). Cette solidarité passive entre les colocataires peut résulter des circonstances, par exemple si un père s’engage avec sa fille, participe à la garantie et contresigne le bail (Lachat, loc. cit., et les réf. citées). Dans un autre arrêt (TF 4A_152/2018 du 29 juin 2018, consid. 3 à 5), le Tribunal fédéral a considéré que le fait que le recourant ait signé le contrat de bail aux côtés d’une société holding plaidait en faveur d’une responsabilité solidaire en tant que colocataire. Par ailleurs, la Cour des poursuites et failles du Tribunal cantonal juge régulièrement qu’en matière de contrat de bail, il est admis que les colocataires sont des codébiteurs solidaires (CPF du 12 novembre 2021 et les réf. citées).</w:t>
      </w:r>
    </w:p>
    <w:p>
      <w:r>
        <w:rPr>
          <w:b/>
        </w:rPr>
        <w:t>E. 3.4.4.3</w:t>
      </w:r>
    </w:p>
    <w:p>
      <w:r>
        <w:t>En l’espèce, comme l’ont relevé les premiers juges, les locaux étaient destinés avant tout à l’activité de la société. L’engagement de son administrateur et ayant-droit économique unique aux côtés de cette société était un cas incontestable d’engagement solidaire, au vu de la jurisprudence précitée. Au vu de ce qui précède, l’intimé était donc tenu, solidairement avec sa société, de payer l’entier du loyer.</w:t>
      </w:r>
    </w:p>
    <w:p>
      <w:r>
        <w:rPr>
          <w:b/>
        </w:rPr>
        <w:t>E. 4</w:t>
      </w:r>
    </w:p>
    <w:p>
      <w:r>
        <w:t>Il resterait encore à déterminer le montant exact dû par l’intimé. A cet égard, le jugement est muet, l’appel aussi. L’échéance du bail était au 31 décembre 2027. Le 29 novembre 2019, la bailleresse a signifié à l’intimé qu’il demeurait responsable des loyers jusqu’à la relocation, mais au plus tard jusqu’à l’échéance contractuelle. Elle a réclamé en première instance les loyers et indemnités d’occupation illicite du 1er juillet 2020 au 31 juillet 2021 (soit 13 mois à 3'440 fr., sous déduction de 18'000 fr. déjà encaissés d’un tiers, du fait de la location provisoire). Elle a allégué qu’elle avait reloué les locaux de manière provisoire pour six mois. Les premiers juges ont retenu que cette location provisoire lui avait permis d’encaisser 18'000 fr., portés en déduction des montants dus par les locataires.</w:t>
      </w:r>
    </w:p>
    <w:p>
      <w:r>
        <w:t>- 23 - En revanche, les premiers juges n’ont pas examiné la question de savoir si l’appelante avait suffisamment limité son dommage. L’intimé alléguait avoir proposé plusieurs locataires de remplacement. Il a aussi allégué que les échelons des loyers n’avaient pas été valablement notifiés et a prétendu à une réduction du loyer en raison de défauts. Il a pris des conclusions reconventionnelles en raison de prétendus travaux d’aménagement dont le coût lui serait dû. Ces éléments n’ayant pas été examinés en première instance, la Cour de céans ne peut y procéder sans enfreindre le principe de la double instance. De plus, l’intimé ne s’est pas déterminé en seconde instance sur ces questions et il n’en avait pas l’occasion puisqu’ils ne faisaient pas l’objet de l’appel. Le jugement doit donc être annulé et la cause renvoyée aux premiers juges pour instruire et statuer à nouveau.</w:t>
      </w:r>
    </w:p>
    <w:p>
      <w:r>
        <w:rPr>
          <w:b/>
        </w:rPr>
        <w:t>E. 5.1</w:t>
      </w:r>
    </w:p>
    <w:p>
      <w:r>
        <w:t>En définitive, l’appel doit être admis, le jugement étant annulé et la cause renvoyée en première instance pour procéder dans le sens des considérants. Les frais judiciaires de deuxième instance sont arrêtés à 884 fr. (art. 62 al. 1 TFJC [tarif des frais judiciaires civils du 28 septembre 2010 ; BLV 270.11.5]). Ils seront mis à la charge de l’intimé, qui succombe (art. 106 al. 1 CPC).</w:t>
      </w:r>
    </w:p>
    <w:p>
      <w:r>
        <w:rPr>
          <w:b/>
        </w:rPr>
        <w:t>E. 5.2</w:t>
      </w:r>
    </w:p>
    <w:p>
      <w:r>
        <w:t>Au vu de l’issue de la cause, l’appelante a droit à des dépens de deuxième instance. Ils sont fixés conformément à l’art. 7 TDC (tarif des dépens en matière civile ; BLV 270.11.6), qui prévoit, pour une valeur litigieuse de 29'103 fr. 70, des dépens entre 600 et 4'500 francs. La valeur litigieuse se situant près de la limite supérieure prévue par cette disposition (de 10'000 fr. à 30'000 fr.) et l’appel ayant nécessité un travail certain, il se justifie de fixer les dépens de deuxième instance à 3'500 fr., à la charge de l’intimé.</w:t>
      </w:r>
    </w:p>
    <w:p>
      <w:r>
        <w:t>- 24 - Ainsi, l’intimé versera à l’appelante un montant de 4'384 fr., correspondant aux dépens de deuxième instance et au remboursement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