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XZ20.010646 vom 31. Januar 2022</w:t>
      </w:r>
    </w:p>
    <w:p>
      <w:r>
        <w:t>VD Tribunal cantonal, 2022-01-31, FR</w:t>
      </w:r>
    </w:p>
    <w:p>
      <w:r>
        <w:rPr>
          <w:b/>
        </w:rPr>
        <w:t xml:space="preserve">Quelle: </w:t>
      </w:r>
      <w:r>
        <w:t>https://mcp.opencaselaw.ch/entscheid/vd_gerichte_XZ20.010646</w:t>
      </w:r>
    </w:p>
    <w:p>
      <w:r>
        <w:t>FR: VD_GERICHTE XZ20.010646 du 31 janvier 2022</w:t>
      </w:r>
    </w:p>
    <w:p>
      <w:r>
        <w:t>IT: VD_GERICHTE XZ20.010646 del 31 gennaio 2022</w:t>
      </w:r>
    </w:p>
    <w:p>
      <w:pPr>
        <w:pStyle w:val="Heading2"/>
      </w:pPr>
      <w:r>
        <w:t>Erwägungen</w:t>
      </w:r>
    </w:p>
    <w:p>
      <w:r>
        <w:rPr>
          <w:b/>
        </w:rPr>
        <w:t>E. 5.1</w:t>
      </w:r>
    </w:p>
    <w:p>
      <w:r>
        <w:t>L’appelante invoque une violation des règles relatives à l’annonce du défaut par le locataire. Elle fait valoir qu’il y aurait « très peu d’avis écrits de défaut de la part de la partie locataire ». Elle reproche encore à l’intimé de ne pas avoir répondu à la question des jours et heures de nuisance et d’avoir participé à l’expertise en admettant que les mesures soient effectuées durant un seul cours, soit le cours de Zumba.</w:t>
      </w:r>
    </w:p>
    <w:p>
      <w:r>
        <w:rPr>
          <w:b/>
        </w:rPr>
        <w:t>E. 5.2.1</w:t>
      </w:r>
    </w:p>
    <w:p>
      <w:r>
        <w:t>Le locataire doit signaler au bailleur les défauts auxquels il n'est pas tenu de remédier lui-même (art. 257g al. 1 CO). Si le défaut entrave ou restreint l'usage pour lequel la chose a été louée, le locataire peut exiger du bailleur une réduction proportionnelle du loyer à partir du moment où le bailleur a eu connaissance du défaut et jusqu'à l'élimination de ce dernier (art. 259d CO). La réduction du loyer à laquelle le locataire peut prétendre doit être proportionnelle au défaut et se détermine par rapport à la valeur de l'objet sans défaut ; elle vise à rétablir l'équilibre</w:t>
      </w:r>
    </w:p>
    <w:p>
      <w:r>
        <w:t>- 22 - entre les prestations des parties (ATF 130 III 504 consid. 4.1 ; TF 4A_621/2014 du 24 mars 2015 consid. 3.1). On peut exiger du locataire qui exerce les droits découlant de la garantie pour les défauts qu'il se comporte conformément aux règles de la bonne foi. En particulier, il doit signaler les défauts sans retard pour permettre au bailleur de prendre les mesures nécessaires afin de réduire son dommage. Le locataire qui adopte un comportement passif peut être considéré comme ayant renoncé tacitement à ses droits ; dans ce cas, il contrevient à l'art. 2 al. 2 CC s'il intente l'action découlant de l'art. 259d CO (ATF 130 III 504 consid. 5.2 ; TF 4A_621/2014 du 24 mars 2015 consid. 3.1 ; TF 4A_565/2009 du 21 janvier 2010 consid. 2.2.2). S'agissant de la forme de l'avis des défauts, la loi n'exige pas qu'il soit donné par écrit (Lachat/Rubli, Le bail à loyer, Lausanne 2019, n. 1.8).</w:t>
      </w:r>
    </w:p>
    <w:p>
      <w:r>
        <w:rPr>
          <w:b/>
        </w:rPr>
        <w:t>E. 5.2.2</w:t>
      </w:r>
    </w:p>
    <w:p>
      <w:r>
        <w:t>L’appelant a l’obligation de motiver son appel (art. 311 al. 1 CPC) : il doit expliquer en quoi son argumentation peut influer sur la solution retenue par les premiers juges (TF 4A_474/2013 du 10 mars 2014 consid. 3.1, SJ 2014 I 459 ; TF 5A_438/2012 du 27 août 2012 consid. 2.2,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w:t>
      </w:r>
    </w:p>
    <w:p>
      <w:r>
        <w:rPr>
          <w:b/>
        </w:rPr>
        <w:t>E. 5.3</w:t>
      </w:r>
    </w:p>
    <w:p>
      <w:r>
        <w:t>En l’espèce, l’appelante invoque une violation de l’art. 259g CO et développe la théorie relative à l’avis des défauts. On peine toutefois à comprendre les conséquences qu’elle en tire dans le cas présent, dès lors qu’elle déclare « qu’il y a très peu d’avis écrits de défaut de la part de la partie locataire ». Il n’est en effet pas exigé de celui qui dénonce un défaut qu’il transmette « beaucoup » ni un certain nombre d’avis à ce titre. Le 11 décembre 2018, l’intimé a écrit à la gérance pour se plaindre</w:t>
      </w:r>
    </w:p>
    <w:p>
      <w:r>
        <w:t>- 23 - du fait qu’il subissait des nuisances sonores. Cette annonce constitue clairement un avis des défauts, ce qu’ont admis à juste titre les premiers juges. Dans le cadre de ce grief, l’appelante se prévaut également du fait que l’intimé n’aurait pas répondu à la question des jours et heures de nuisances et d’avoir participé à l’expertise en admettant que les mesures soient effectuées durant un seul cours. Ces questions n’ont toutefois aucune incidence sur l’avis des défauts. Comme indiqué plus haut, l’intimé s’est plaint de nuisances sonores subies durant les cours collectifs du fitness et a invité la gérante à venir les constater. Le défaut est ainsi clairement défini. L’appelante développe encore la théorie juridique concernant la date à laquelle le bailleur a été informé du défaut. Elle n’en tire toutefois aucune conséquence, de sorte que son grief est irrecevable pour défaut de motivation. Au demeurant, on doit constater que c’est à juste titre que les premiers juges ont accordé la réduction de loyer dès le 12 décembre 2018, date de réception du courrier précité. En effet, si l’intimé s’est plaint auparavant de nuisances, cela n’est pas établi, de sorte que c’est bien le courrier du 11 décembre 2018 – produit au dossier – qui doit être retenu pour valoir avis des défauts.</w:t>
      </w:r>
    </w:p>
    <w:p>
      <w:r>
        <w:rPr>
          <w:b/>
        </w:rPr>
        <w:t>E. 6.1</w:t>
      </w:r>
    </w:p>
    <w:p>
      <w:r>
        <w:t>Selon l’appelante, les premiers juges auraient mal appliqué la règle selon laquelle la réduction du loyer devrait être proportionnelle au défaut et se déterminerait par rapport à la valeur de l’objet sans défaut. L’appelante se fonde sur une utilisation des locaux 24 heures sur 24 et 365 jours par année. En conséquence, la réduction équivaudrait à 0,1% du loyer mensuel, soit un cas bagatelle qui n’aurait pas à être indemnisé. La solution des premiers juges constituerait en des dommages-intérêts punitifs inadmissibles.</w:t>
      </w:r>
    </w:p>
    <w:p>
      <w:r>
        <w:t>- 24 - L’intimé pour sa part fait valoir qu’il a loué des locaux à usage commercial et qu’il les a utilisés conformément à l’usage prévu, soit pendant les heures de bureau et les jours ouvrables. La réduction devait donc bien se fonder sur une utilisation du lundi au vendredi de 7 heures à 19 heures. L’intimé soutient ainsi que la proportion retenue quant à la réduction du loyer net serait conforme au dernier planning des cours de fitness. Toutefois, il fait valoir qu’il n’est pas exclu qu’il y ait une recrudescence du bruit liée à la tenue de davantage de cours collectifs après la période de restriction sanitaire.</w:t>
      </w:r>
    </w:p>
    <w:p>
      <w:r>
        <w:rPr>
          <w:b/>
        </w:rPr>
        <w:t>E. 6.2</w:t>
      </w:r>
    </w:p>
    <w:p>
      <w:r>
        <w:t>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 TF 4A_245/2021 du 26 octobre 2021 consid. 5.1). L'usage convenu se détermine prioritairement en fonction des termes du bail et de ses annexes (TF 4A_245/2021 précité consid. 5.1). La réduction du loyer vise à rétablir l'équilibre des prestations entre les parties. En principe, la mesure de la réduction de loyer se détermine selon la méthode dite relative ou proportionnelle : la valeur objective de la chose avec défaut est comparée à sa valeur objective sans défaut, le loyer étant ensuite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précité consid. 4 ; TF 4A_132/2017 du 25 septembre 2017 consid. 11).</w:t>
      </w:r>
    </w:p>
    <w:p>
      <w:r>
        <w:t>- 25 - Le juge doit apprécier objectivement la mesure dans laquelle l'usage convenu se trouve limité, en tenant compte des particularités du cas concret, parmi lesquelles figurent notamment la destination de l'objet loué (TF 4A_132/2017 du 25 septembre 2017 consid. 11), l'âge et le type de la construction, ainsi que le montant du loyer (Tercier/Bieri/Carron, Les contrats spéciaux, 5e éd., 2016, n. 1749 ; Higi, Zürcher Kommentar, 1994, n. 28 ad art. 258 CO). Il ne s'agit pas de circonstances subjectives propres à un locataire, mais bien de l'usage prévu contractuellement dans le cas d'espèce (Aubert, Droit du bail, Commentaire pratique [CPra-Bail], 2e éd., 2017, n. 21 ad art. 259d CO). Pour mesurer la moins-value, il faut partir des circonstances de l'espèce et déduire, d'après des critères objectifs, la moins-value causée par le défaut (CACI 23 mars 2018/187 consid. 3.2). Le juge dispose d’un large pouvoir d’appréciation dans la détermination de la quotité de la réduction du loyer (CACI 5 janvier 2021/2).</w:t>
      </w:r>
    </w:p>
    <w:p>
      <w:r>
        <w:rPr>
          <w:b/>
        </w:rPr>
        <w:t>E. 6.3</w:t>
      </w:r>
    </w:p>
    <w:p>
      <w:r>
        <w:t>Les premiers juges ont constaté que l’usage normal des locaux s’effectuait uniquement pendant les heures de bureau, soit une utilisation hebdomadaire de 60 heures pour cinq jours ouvrés de 7 heures à 19 heures. Ils ont en outre pris en compte que les consultations s’effectuaient usuellement entre 8 heures et midi, puis entre 13 heures et 18 heures. Ils ont de ce fait distingué selon que les cours bruyants gênaient les consultations, retenant alors une diminution de la valeur de la chose louée de 60%, ou le travail administratif, retenant à cet égard une diminution de 15%.</w:t>
      </w:r>
    </w:p>
    <w:p>
      <w:r>
        <w:rPr>
          <w:b/>
        </w:rPr>
        <w:t>E. 6.4</w:t>
      </w:r>
    </w:p>
    <w:p>
      <w:r>
        <w:t>En l’espèce, l’appelante cite de nombreuses jurisprudences, dont un arrêt zurichois, qui concernent presque tous des locaux d’habitation. Elle entend que la réduction se fonde sur une utilisation des locaux 24 heures sur 24 et 365 jours par année. Tel n’est toutefois pas l’usage convenu. Les parties ont signé un contrat de bail à loyer pour locaux commerciaux. Le contrat précise que le bail est à l’usage d’un cabinet médical. Or, l’appelante ne prétend pas que l’usage d’un cabinet</w:t>
      </w:r>
    </w:p>
    <w:p>
      <w:r>
        <w:t>- 26 - médical consisterait pour le médecin concerné dans l’utilisation des locaux durant la nuit et les week-ends. La doctrine et la jurisprudence admettent que la destination des locaux joue clairement un rôle dans l’appréciation de la limitation de l’objet loué. Il est dès lors adéquat, pour juger de la diminution de valeur du bien en question, de se fonder sur les périodes liées à son utilisation, laquelle n’est pas semblable à celle d’un logement d’habitation. A noter encore que l’intimé ne se plaint pas – à juste titre – des bruits occasionnés lorsque le cabinet est fermé, soit après 19 heures et durant le week-end. Il a dès lors été tenu compte uniquement des cours qui ont lieu pendant les heures d’utilisation du cabinet. Une distinction a même été faite entre les heures de consultation et les heures où l’intimé effectue du travail administratif. De la même manière que le défaut a été apprécié au regard de l’usage, la réduction du loyer doit être calculée en fonction de l’utilisations des locaux. Il s’ensuit que les calculs des premiers juges – qui ne sont pas contestés en soi – peuvent être confirmés.</w:t>
      </w:r>
    </w:p>
    <w:p>
      <w:r>
        <w:rPr>
          <w:b/>
        </w:rPr>
        <w:t>E. 7.1</w:t>
      </w:r>
    </w:p>
    <w:p>
      <w:r>
        <w:t>L’appelant par voie de jonction soutient que l’intimée a toujours connu sa spécialité, soit la cardiologie, laquelle nécessite du calme pour entendre correctement le cœur des patients. Il reproche dès lors à l’intimée d’avoir accepté de conclure un bail avec un fitness, alors qu’elle devait se douter que cela engendrerait des nuisances sonores. Il requiert dès lors que des travaux soient entrepris afin de faire cesser les nuisances. Il ajoute que « rien ne permet à la bailleresse de préciser que des travaux d’assainissement sonores seraient disproportionnés. ». L’intimée par voie de jonction invoque l’irrecevabilité de l’appel par voie de jonction au motif que la réponse à l’appel principal et l’appel joint n’auraient pas été articulés en deux parties distinctes et que la motivation serait insuffisante au regard des conclusions prises. Pour le surplus, elle invoque que le locataire peut demander des travaux d’entretien mais non des travaux de rénovation. Au demeurant, la remise</w:t>
      </w:r>
    </w:p>
    <w:p>
      <w:r>
        <w:t>- 27 - en état ne serait pas absolue et ne pourrait être exigée que si elle s’avérait possible et que son coût ne serait pas disproportionné. En l’état, des travaux d’isolation sonore seraient clairement disproportionnés.</w:t>
      </w:r>
    </w:p>
    <w:p>
      <w:r>
        <w:rPr>
          <w:b/>
        </w:rPr>
        <w:t>E. 7.2</w:t>
      </w:r>
    </w:p>
    <w:p>
      <w:r>
        <w:t>Des défauts de moyenne importance et des défauts graves ouvrent au locataire les droits prévus à l'art. 259a CO, en particulier la remise en état de la chose (TF 4A_411/2020 précité consid. 3.1.1 ; TF 4A_395/2017 du 11 octobre 2018 consid. 5.2). La remise en état de la chose vise la suppression du défaut. Le bailleur doit soit effectuer les réparations – en cas de défaut matériel –, soit éliminer la source du défaut ou de la nuisance. Il peut demander des travaux d’entretien ou de réparation, mais pas des travaux de rénovation. Le locataire ne peut demander la remise en état que si elle apparaît possible : il ne peut pas exiger la remise en état lorsque le bailleur n’a aucune emprise sur le défaut ou lorsque le coût d’une remise en état serait disproportionné (Aubert, Droit du bail à loyer et à ferme, 2e éd. 2017, nn. 11 et 12 ad art. 259b CO ; Lachat/Grobet Thorens/Rubli/Stastny, Le bail à loyer, Lausanne 2019, nn. 2.1 à 2.3, pp. 306 et 307).</w:t>
      </w:r>
    </w:p>
    <w:p>
      <w:r>
        <w:rPr>
          <w:b/>
        </w:rPr>
        <w:t>E. 7.3</w:t>
      </w:r>
    </w:p>
    <w:p>
      <w:r>
        <w:t>Les premiers juges ont constaté qu’une amélioration de l’isolation phonique de l’immeuble ne pourrait être obtenue, de l’expérience générale du tribunal, que par l’exécution de travaux fort coûteux. Or le coût de tels travaux serait disproportionné au vu de la faible durée hebdomadaire des nuisances subies. Il serait également disproportionné de résilier le bail d’O.________SA, d’autant que cette mesure ne permettrait pas forcément de supprimer le défaut avant plusieurs années, la société pouvant demander une prolongation de bail.</w:t>
      </w:r>
    </w:p>
    <w:p>
      <w:r>
        <w:rPr>
          <w:b/>
        </w:rPr>
        <w:t>E. 7.4.1</w:t>
      </w:r>
    </w:p>
    <w:p>
      <w:r>
        <w:t>A titre préalable, il convient de constater que si les exigences de motivation valent également pour l’appel joint (TF 5A_361/2019 du 21 février 2020 consid. 3.3.1), la loi n’impose pas à l’appelant par voie de jonction la manière dont il doit rédiger son écriture de réponse et d’appel joint. L’intimée par voie de jonction cite Jeandin (CR-CPC, n. 4 ad art. 313</w:t>
      </w:r>
    </w:p>
    <w:p>
      <w:r>
        <w:t>- 28 - CPC), qui déclare que « le mémoire de réponse sera articulé en deux parties : l’une consacrée à la réponse proprement dite (art. 312), l’autre constituant l’appel joint ». On ne saurait toutefois tirer de l’avis de cet auteur qu’une écriture qui ne respecterait pas cette façon de procéder serait forcément irrecevable. L’intimé et appelant par voie de jonction doit exprimer ses arguments de façon motivée et compréhensible afin que l’autorité de recours puisse comprendre ce qu’il conteste et ce qu’il réclame dans le cadre de son appel joint. Or, on peut tout à fait envisager qu’une motivation puisse servir à la conclusion en rejet de l’appel principal et, dans le même temps, à une conclusion en modification du dispositif contesté, pour autant que l’écriture reste compréhensible, ce qui est le cas en l’occurrence. Partant, le grief de l’intimée tenant au fait que l’appelant par voie de jonction n’aurait pas rédigé son écriture en deux parties distinctes est mal fondé et il convient d’examiner si les conclusions de l’appel joint sont dûment motivées.</w:t>
      </w:r>
    </w:p>
    <w:p>
      <w:r>
        <w:rPr>
          <w:b/>
        </w:rPr>
        <w:t>E. 7.4.2</w:t>
      </w:r>
    </w:p>
    <w:p>
      <w:r>
        <w:t>L’appelant par voie de jonction fait valoir que, « comme [il] l’a demandé, il doit être prévu des travaux afin que ces nuisances sonores cessent ». Il convient de constater que dans sa demande, il a conclu à ce que le propriétaire procède à « toutes mesures nécessaires afin de faire cesser les nuisances sonores ». Cela étant, il n’a pas motivé sa requête en précisant s’il entendait par-là une baisse du niveau sonore, une résiliation du bail du fitness ou des travaux d’isolation phonique. Sur ce dernier point, on pourrait se demander si des travaux d’isolation sont des travaux de réparation ou de rénovation, ces derniers n’étant pas exigibles du bailleur. La question peut toutefois demeurer indécise. L’appelant par voie de jonction ajoute que « rien ne permet à la bailleresse de préciser que des travaux d’assainissement sonores seraient disproportionnés. Cela étant, il ne critique pas l’appréciation du tribunal des baux – dont les membres sont des professionnels en matière de bail – selon laquelle des travaux d’isolation phonique auraient un coût très important. Il n’explique pas non plus en quoi il serait erroné de retenir</w:t>
      </w:r>
    </w:p>
    <w:p>
      <w:r>
        <w:t>- 29 - qu’il serait disproportionné d’effectuer ces travaux coûteux au regard de la faible durée des nuisances, soit 2 heures par semaine pendant les heures de consultation et 4 heures par semaine pendant les heures consacrées au travail administratif. Partant, le grief, insuffisamment motivé, doit être rejeté.</w:t>
      </w:r>
    </w:p>
    <w:p>
      <w:r>
        <w:rPr>
          <w:b/>
        </w:rPr>
        <w:t>E. 8</w:t>
      </w:r>
    </w:p>
    <w:p>
      <w:r>
        <w:t>L’appelant par voie de jonction a pris une conclusion tendant à ce que la réduction du loyer ne soit pas de 3% comme l’ont décidé les premiers juges, mais de 10%. Dans sa motivation, il fait valoir que la proportion retenue par les premiers juges est conforme au dernier planning des cours. Ensuite, il expose que « lorsque les cours collectifs reprendront, il n’est pas exclu qu’il y ait une recrudescence du bruit liée à plus de cours collectifs ». Il soutient qu’après une période de restriction sanitaire, il serait tout à fait « plausible » que le fitness augmente le nombre de cours pour satisfaire sa clientèle et que cela aurait pour conséquence d’augmenter les nuisances sonores. L’action fondée sur l’art. 259a CO n’est pas destinée à réparer et compenser un défaut « plausible », hypothétique ou potentiel. Un défaut doit être avéré. Sur la base des plannings produits, les premiers juges ont admis l’existence de nuisances sonores excessives durant six cours, dont deux cours pendant les heures de consultation. Comme le reconnaît lui-même l’appelant par voie de jonction, la réduction accordée est conforme à ces plannings. Il n’y a pas lieu d’accorder une réduction supplémentaire en se fondant sur des hypothèses. Au demeurant, on relèvera, avec l’intimée, que l’appelant par voie de jonction ne motive pas sa conclusion en réduction de 10%. Il n’explique en particulier pas comment il parvient à ce taux. Enfin, par surabondance, on notera que l’appelant par voie de jonction admet de par son argumentation qu’il y a eu une période lors de laquelle les cours collectifs ont été suspendus. Or, il a obtenu une réduction de loyer également pour les mois concernés par cette</w:t>
      </w:r>
    </w:p>
    <w:p>
      <w:r>
        <w:t>- 30 - suspension. Si des cours étaient ajoutés, ils compenseraient dès lors les cours qui n’ont pas eu lieu. On doit toutefois constater que la probabilité que des cours soient ajoutés durant les heures de consultation est faible : les heures de cours collectifs sont fixées en fonction de leur fréquentation, ce qui dépend en grande partie des horaires de travail, de sorte que l’essentiel des cours est agendé le soir après 18 heures. La conclusion de l’appelant par voie de jonction en réduction du loyer à hauteur de 10% doit donc être rejetée, dans la mesure où elle est recevable.</w:t>
      </w:r>
    </w:p>
    <w:p>
      <w:r>
        <w:rPr>
          <w:b/>
        </w:rPr>
        <w:t>E. 9</w:t>
      </w:r>
    </w:p>
    <w:p>
      <w:r>
        <w:t>En définitive, l’appel doit être rejeté et l’appel joint également dans la mesure où il est recevable, le jugement attaqué étant confirmé. Les frais judiciaires de deuxième instance de l’appel principal, arrêtés à 886 fr. (art. 4 al. 1 et 62 al. 1 TFJC [tarif des frais judiciaires civils du 28 septembre 2010 ; BLV 270.11.5]), sont mis à la charge de l’appelante, qui succombe sur son appel (art. 106 al. 1 CPC). Les frais judiciaires de deuxième instance de l’appel joint, arrêtés à 846 fr. (art. 4 al. 1 et 62 al. 1 TFJC), sont mis à la charge de l’appelant par voie de jonction, qui succombe également sur son appel joint. Les dépens de deuxième instance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