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XZ18.018718 vom 19. August 2020</w:t>
      </w:r>
    </w:p>
    <w:p>
      <w:r>
        <w:t>VD Tribunal cantonal, 2020-08-19, FR</w:t>
      </w:r>
    </w:p>
    <w:p>
      <w:r>
        <w:rPr>
          <w:b/>
        </w:rPr>
        <w:t xml:space="preserve">Quelle: </w:t>
      </w:r>
      <w:r>
        <w:t>https://mcp.opencaselaw.ch/entscheid/vd_gerichte_XZ18.018718</w:t>
      </w:r>
    </w:p>
    <w:p>
      <w:r>
        <w:t>FR: VD_GERICHTE XZ18.018718 du 19 août 2020</w:t>
      </w:r>
    </w:p>
    <w:p>
      <w:r>
        <w:t>IT: VD_GERICHTE XZ18.018718 del 19 agosto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résulte de ce qui précède que l'appel doit être rejeté selon le mode procédural de l’art. 312 al. 1 CPC et le jugement entrepris confirmé.</w:t>
      </w:r>
    </w:p>
    <w:p>
      <w:r>
        <w:t>- 34 - Les frais judiciaires de deuxième instance, arrêtés à 1'894 fr. (art. 62 al. 1 TFJC [tarif des frais judiciaires civils du 28 septembre 2010, RSV 270.11.5]), seront mis à la charge de l'appelante, qui succombe (art. 106 al. 1 CPC). Il n'y a pas lieu d'allouer de dépens aux intimés, qui n’ont pas été invités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