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XZ15.031805 vom 18. November 2015</w:t>
      </w:r>
    </w:p>
    <w:p>
      <w:r>
        <w:t>VD Tribunal cantonal, 2015-11-18, FR</w:t>
      </w:r>
    </w:p>
    <w:p>
      <w:r>
        <w:rPr>
          <w:b/>
        </w:rPr>
        <w:t xml:space="preserve">Quelle: </w:t>
      </w:r>
      <w:r>
        <w:t>https://mcp.opencaselaw.ch/entscheid/vd_gerichte_XZ15.031805</w:t>
      </w:r>
    </w:p>
    <w:p>
      <w:r>
        <w:t>FR: VD_GERICHTE XZ15.031805 du 18 novembre 2015</w:t>
      </w:r>
    </w:p>
    <w:p>
      <w:r>
        <w:t>IT: VD_GERICHTE XZ15.031805 del 18 novembre 2015</w:t>
      </w:r>
    </w:p>
    <w:p>
      <w:pPr>
        <w:pStyle w:val="Heading2"/>
      </w:pPr>
      <w:r>
        <w:t>Erwägungen</w:t>
      </w:r>
    </w:p>
    <w:p>
      <w:r>
        <w:rPr>
          <w:b/>
        </w:rPr>
        <w:t>E. 1</w:t>
      </w:r>
    </w:p>
    <w:p>
      <w:r>
        <w:t>Par jugement du 29 septembre 2015, dont les motifs ont été adressés pour notification aux parties le 26 octobre 2015, la Présidente du Tribunal des baux a déclaré irrecevable la requête en expulsion selon la procédure en cas clair, déposée le 23 juillet 2015 par la bailleresse Q.________ contre les locataires L.________ et U.________. Le jugement a été notifié à la bailleresse ainsi qu'à U.________, le premier juge retenant qu'aucune société n'était inscrite sous la raison sociale L.________, si bien que celle-ci n'avait aucune existence juridique et qu'il n'y avait pas lieu de lui notifier cette décision. Le jugement indiquait qu'un appel au sens des art. 308 ss CPC (Code de procédure civile du 19 décembre 2008 ; RS 272) pouvait être formé dans un délai de trente jours dès la notification de la décision.</w:t>
      </w:r>
    </w:p>
    <w:p>
      <w:r>
        <w:rPr>
          <w:b/>
        </w:rPr>
        <w:t>E. 2</w:t>
      </w:r>
    </w:p>
    <w:p>
      <w:r>
        <w:t>Q.________ a reçu le jugement le 27 octobre 2015. Par acte du 10 novembre 2015 adressé au Tribunal cantonal, elle a fait "recours" contre ce jugement en concluant, en substance, à sa réforme en ce sens que l'expulsion des locataires L.________ et U.________ ainsi que des sous- locataires H.________ soit prononcée. Q.________ est représentée par [...], l'acte étant cosigné par [...], fondée de pouvoir, et [...], mandataire commerciale, cette dernière bénéficiant d'une autorisation de la Chambre vaudoise immobilière (ci- après : CVI) d'assister ou de représenter professionnellement la partie bailleresse devant les commissions de conciliation en matière de baux à loyer ou devant le Tribunal des baux ainsi que dans les causes relevant de l'art. 5 ch. 30 CDPJ (Code de droit privé judiciaire vaudois du 12 janvier 2010 ; RSV 211.0).</w:t>
      </w:r>
    </w:p>
    <w:p>
      <w:r>
        <w:rPr>
          <w:b/>
        </w:rPr>
        <w:t>E. 3</w:t>
      </w:r>
    </w:p>
    <w:p>
      <w:r>
        <w:t>- 3 -</w:t>
      </w:r>
    </w:p>
    <w:p>
      <w:r>
        <w:rPr>
          <w:b/>
        </w:rPr>
        <w:t>E. 3.1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En l'espèce, le loyer mensuel s'élève à 1'980 fr., charges comprises. Au vu de la jurisprudence précitée, la valeur litigieuse de 10'000 fr. est sans conteste atteinte, de sorte que la voie de l'appel est ouverte.</w:t>
      </w:r>
    </w:p>
    <w:p>
      <w:r>
        <w:rPr>
          <w:b/>
        </w:rPr>
        <w:t>E. 3.2</w:t>
      </w:r>
    </w:p>
    <w:p>
      <w:r>
        <w:t>De manière générale, l'acte adressé au bon tribunal, mais à la mauvaise cour ou au mauvais juge n'est revêtu que d'un simple vice de forme mineur et peut être transmis d'office au juge ou à la cour compétente pour être valablement traité (CREC 6 mars 2013/70).</w:t>
      </w:r>
    </w:p>
    <w:p>
      <w:r>
        <w:t>- 4 - En l'espèce, il y a lieu de considérer que le "recours" adressé au Tribunal cantonal constitue en réalité un appel, relevant de la compétence de la Cour d'appel civile, conformément aux art. 84 LOJV (loi d'organisation judiciaire du 12 décembre 1979 ; RSV 173) et 39 ROTC (règlement organique du Tribunal cantonal du 13 novembre 2007 ; RSV 173.31.1).</w:t>
      </w:r>
    </w:p>
    <w:p>
      <w:r>
        <w:rPr>
          <w:b/>
        </w:rPr>
        <w:t>E. 3.3.1</w:t>
      </w:r>
    </w:p>
    <w:p>
      <w:r>
        <w:t>L’appel, écrit et motivé, s’exerce en principe dans un délai de trente jours (art. 311 al. 1 CPC). Le délai d’appel est toutefois de dix jours dans toutes les décisions rendues en procédure sommaire (art. 314 al. 1 CPC), notamment lorsque la protection dans les cas clairs est requise (art. 248 let. b et 257 CPC). En l’espèce, le jugement entrepris, statuant sur une requête d'expulsion selon la procédure en cas clair, a été rendu en application de la procédure sommaire. Le délai d’appel est ainsi de dix jours à compter de la notification de la décision motivée, et non de 30 jours comme indiqué de manière erronée au pied de la décision querellée, ce délai venant à échéance le 6 novembre 2015.</w:t>
      </w:r>
    </w:p>
    <w:p>
      <w:r>
        <w:rPr>
          <w:b/>
        </w:rPr>
        <w:t>E. 3.3.2</w:t>
      </w:r>
    </w:p>
    <w:p>
      <w:r>
        <w:t>En vertu du droit à la protection de la bonne foi, consacré à l'art. 5 al. 3 Cst. (Constitution fédérale de la Confédération suisse du 18 avril 1999 ; RS 101),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w:t>
      </w:r>
    </w:p>
    <w:p>
      <w:r>
        <w:t>- 5 - exigences envers les avocats sont naturellement plus élevées : on attend dans tous les cas de ces derniers qu'ils procèdent à un contrôle sommaire ("Grobkontrolle") des indications sur la voie de droit (TF 5A_878/2014 du 17 juin 2015 consid. 3.2, destiné à la publication ; TF 5A_895/2014 du 6 mai 2015 consid. 2.4.1 ; TF 5A_104/2014 du 10 octobre 2014 consid. 3.3 ; ATF 138 I 49 consid. 8.4 ; ATF 135 III 374 consid. 1.2.2.2 ; ATF 134 I 199 consid. 1.3.1).</w:t>
      </w:r>
    </w:p>
    <w:p>
      <w:r>
        <w:rPr>
          <w:b/>
        </w:rPr>
        <w:t>E. 3.3.3</w:t>
      </w:r>
    </w:p>
    <w:p>
      <w:r>
        <w:t>L'art. 68 al. 2 CPC autorise devant les juridictions spéciales en matière de contrat de bail, notamment, la représentation des parties à titre professionnel par des mandataires professionnellement qualifiés, si le droit cantonal le prévoit. Dans le canton de Vaud, cette autorisation a été prévue à l'art. 36 al. 2 CDPJ, notamment en faveur des représentants des organisations représentatives de locataires ou de bailleurs, préalablement autorisées par le Tribunal cantonal. Les représentants de ces organisations peuvent ainsi représenter les parties devant les commissions de conciliation en matière de bail à loyer, le Tribunal des baux et pour les causes relevant de l'art. 5 ch. 30 CDPJ, soit l'expulsion du locataire ou du fermier dont le bail a été résilié faute de paiement du loyer ou du fermage. Il en résulte que dans les causes précitées, les représentants des organisations représentatives de locataires ou de bailleurs au sens de l'art. 36 al. 2 CDPJ sont assimilés à des représentants professionnels au sens de l'art. 68 al. 2 CPC, au même titre que les avocats.</w:t>
      </w:r>
    </w:p>
    <w:p>
      <w:r>
        <w:rPr>
          <w:b/>
        </w:rPr>
        <w:t>E. 3.3.4</w:t>
      </w:r>
    </w:p>
    <w:p>
      <w:r>
        <w:t>En l'espèce, il ressort expressément du texte de la loi que le délai d'appel (art. 314 al. 1 CPC) est de dix jours lorsque la procédure sommaire est applicable et que tel est le cas lorsque la protection des cas clairs est requise (art. 248 let. b et 257 al. 1 CPC). L'acte d'appel est en l'occurrence cosigné par la mandataire commerciale [...], agréée par la CVI, elle-même agréée par le Tribunal cantonal, en application de l'art. 36 al. 2 CDPJ, et dès lors autorisée en application de l'art. 68 al. 2 let. d CPC à représenter professionnellement la partie bailleresse devant les juridictions spéciales en matière de contrat</w:t>
      </w:r>
    </w:p>
    <w:p>
      <w:r>
        <w:t>- 6 - de bail. C'est donc un mandataire professionnel qui est à l'origine d'une écriture dont la tardiveté est manifeste, ce qu'une simple lecture du texte légal eût pu dissiper nonobstant l'indication erronée du délai d'appel par l'autorité de première instance. Il en résulte que la confiance que l'appelante a placée dans cette indication n'a pas à être protégée, l'appel s'avérant dès lors tardif, partant irrecevable (art. 59 al. 1 CPC).</w:t>
      </w:r>
    </w:p>
    <w:p>
      <w:r>
        <w:rPr>
          <w:b/>
        </w:rPr>
        <w:t>E. 4</w:t>
      </w:r>
    </w:p>
    <w:p>
      <w:r>
        <w:t>Au vu de ce qui précède, l'appel doit être déclaré irrecevable selon le mode procédural de l'art. 312 al. 1 CPC et la décision maintenue. Le présent arrêt peut être rendu sans frais (art. 11 TFJC [tarif des frais judiciaires civils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