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XZ15.001747 vom 4. April 2016</w:t>
      </w:r>
    </w:p>
    <w:p>
      <w:r>
        <w:t>VD Tribunal cantonal, 2016-04-04, FR</w:t>
      </w:r>
    </w:p>
    <w:p>
      <w:r>
        <w:rPr>
          <w:b/>
        </w:rPr>
        <w:t xml:space="preserve">Quelle: </w:t>
      </w:r>
      <w:r>
        <w:t>https://mcp.opencaselaw.ch/entscheid/vd_gerichte_XZ15.001747</w:t>
      </w:r>
    </w:p>
    <w:p>
      <w:r>
        <w:t>FR: VD_GERICHTE XZ15.001747 du 4 avril 2016</w:t>
      </w:r>
    </w:p>
    <w:p>
      <w:r>
        <w:t>IT: VD_GERICHTE XZ15.001747 del 4 aprile 2016</w:t>
      </w:r>
    </w:p>
    <w:p>
      <w:pPr>
        <w:pStyle w:val="Heading2"/>
      </w:pPr>
      <w:r>
        <w:t>Erwägungen</w:t>
      </w:r>
    </w:p>
    <w:p>
      <w:r>
        <w:rPr>
          <w:b/>
        </w:rPr>
        <w:t>E. 1</w:t>
      </w:r>
    </w:p>
    <w:p>
      <w:r>
        <w:t>Par contrat du 6 juin 2006, B.______ SA a remis à bail à H.________ et L.________ un appartement de quatre pièces au 3ème étage de l’immeuble sis [...], à Yverdon-les-Bains, pour un loyer mensuel net de 1'100 fr., charges et frais de téléréseau non compris. Conclu pour une durée initiale d’un an à compter du 1er juillet 2006, le bail se renouvelait ensuite de trois mois en trois mois et pouvait être résilié moyennant avis donné au moins quatre mois à l’avance pour la prochaine échéance. Par lettre non datée reçue par [...] (ci-après : la gérance) le 31 octobre 2013, H.________ et L.________ ont résilié le bail au 30 novembre 2013. Le 26 novembre 2013, la gérance a informé ces derniers qu’ils étaient libérés de leurs obligations à compter du 1er décembre 2013, sous réserve du décompte de charges et de l’état des lieux de sortie.</w:t>
      </w:r>
    </w:p>
    <w:p>
      <w:r>
        <w:rPr>
          <w:b/>
        </w:rPr>
        <w:t>E. 2</w:t>
      </w:r>
    </w:p>
    <w:p>
      <w:r>
        <w:t>L’état des lieux de sortie a été dressé par la gérance le 2 décembre 2013, en l’absence de H.________ et de L.________. Le même jour, la gérance a établi une « convention de sortie ». Seul ce dernier document a été envoyé les 3 et 4 décembre 2013 aux locataires sortants, avec une lettre d’accompagnement. L’état des lieux de sortie mentionnait notamment que, dans les WC, la cuvette, le siège, la chasse et le porte-papier étaient très sales, de même que, dans la cuisine, l’évier, l’égouttoir, le frigo-congélateur, le four, la ventilation et les armoires. Au bas du document figurait la mention suivante : « logement très sale, asticots sur les murs ».</w:t>
      </w:r>
    </w:p>
    <w:p>
      <w:r>
        <w:t>- 4 - S’agissant des frais de remise en état, la convention de sortie mentionnait les postes suivants : « réfection peintures appartement y compris boiseries », « réfection parquets », « réparer et boucher trous dans murs et portes », « fournir deux verres à dents et globe cuisine », « miroir et tablette pharmacie endommagés », « vider la cave », « enlever support cadre porte cuisine », « fourniture d’une clé de l’immeuble » et « remplacement cylindre appartement ». La lettre d’accompagnement indiquait que tous les postes mentionnés dans la convention de sortie seraient facturés aux locataires sortants, selon les factures correspondantes à intervenir. Le 13 décembre 2013, C.______ SA a adressé à la gérance une facture de 1602 fr. 70, assortie d’un escompte de 5 %, pour le nettoyage complet de l’appartement.</w:t>
      </w:r>
    </w:p>
    <w:p>
      <w:r>
        <w:rPr>
          <w:b/>
        </w:rPr>
        <w:t>E. 3</w:t>
      </w:r>
    </w:p>
    <w:p>
      <w:r>
        <w:t>- 6 -</w:t>
      </w:r>
    </w:p>
    <w:p>
      <w:r>
        <w:rPr>
          <w:b/>
        </w:rPr>
        <w:t>E. 3.1</w:t>
      </w:r>
    </w:p>
    <w:p>
      <w:r>
        <w:t>La recourante fait grief au premier juge d’avoir considéré que le poste « nettoyage de l'appartement », objet de l'intervention de l'entreprise C.______ SA facturée le 13 décembre 2013 à hauteur de 1'602 fr. 70, n'avait pas fait l'objet d'un avis des défauts valable. Si elle ne conteste pas que le poste en question n'ait pas été expressément mentionné par la convention de sortie dressée à la suite de l'état des lieux effectué en l'absence des intimés et transmise à ces derniers par courriers des 3 et 4 décembre 2013, la recourante fait valoir que les courriers d'accompagnement de cette convention de sortie faisaient suffisamment état de « l'état pitoyable » dans lequel le logement avait été laissé ; elle se réfère pour le surplus au procès-verbal de l'état des lieux de sortie dressé le 3 décembre 2013, lequel comporte en plusieurs endroits des indications de la saleté de l'appartement ou de ses équipements. Selon elle, le poste « nettoyage de l’appartement » aurait fait l’objet d’un avis des défauts valable et les intimés seraient tenus au remboursement de la facture y relative.</w:t>
      </w:r>
    </w:p>
    <w:p>
      <w:r>
        <w:rPr>
          <w:b/>
        </w:rPr>
        <w:t>E. 3.2</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(CREC 6 janvier 2016/6 consid. 3.1 ; Burkhalter/Martinez-Favre, Le droit suisse du bail à loyer, Commentaire SVIT, 2011, n. 35b ad art. 267-267a CO ; Lachat, Le bail à loyer, 2008, n. 4.3 p. 806 ; Higi, Zürcher Kommentar, 4e éd., 1995, nn. 26-30 ad art. 267a CO). Lorsque l'état des lieux est établi contradictoirement et qu'il est signé</w:t>
      </w:r>
    </w:p>
    <w:p>
      <w:r>
        <w:t>- 7 -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2010, nn. 15 et 17 ad art. 267a CO et la jurisprudence citée). En cas de litige, le bailleur doit démontrer qu'il a donné à temps l'avis des défauts et que celui-ci était suffisamment précis (Lachat, op. cit., n. 4.5 p. 807). Le Tribunal fédéral a considéré qu'un procès-verbal d'état des lieux de sortie, même signé par le locataire, ne valait pas avis des défauts s'il se bornait à énumérer des "dégâts par nature imputables" au locataire, dès lors qu'il s'agissait de reproches trop généraux pour satisfaire aux exigences d'un avis de défauts (TF 4A_545/2011 du 11 janvier 2012 consid. 3.4). 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(Commentaire SVIT, op. cit., n. 35 ad art. 267-267a CO ; Zehnder, Die Mängelrüge im Kauf-, Werkvertrags- und Mietrecht, RSJ 2000 p. 545 s.). D'aucuns soulignent qu'il faut tenir compte des circonstances du cas concret (Lachat, op. cit., p. 805, note infrapaginale 20 ; cf. Weber, Basler Kommentar, 6e éd., 2015, n. 3 ad art. 267a CO). Selon les pratiques cantonales, l'avis donné trois semaines ou un mois après la remise des locaux est en principe tardif (Aubert, in Bohnet/Montini, op. cit., n. 17 ad art. 267 CO et les arrêts cités). Le Tribunal fédéral a jugé tardif un avis intervenu environ deux mois après le changement de sous-locataire (TF 4A_589/2012 du 21 novembre 2012 consid. 2.2 ; TF 4A_388/2012 du 7 janvier 2014 consid. 2.3.1).</w:t>
      </w:r>
    </w:p>
    <w:p>
      <w:r>
        <w:rPr>
          <w:b/>
        </w:rPr>
        <w:t>E. 3.3</w:t>
      </w:r>
    </w:p>
    <w:p>
      <w:r>
        <w:t>En l’espèce, le procès-verbal de l'état des lieux de sortie du 3 décembre 2013 a été dressé en l'absence des locataires intimés. Ce document pointe certes à de nombreuses reprises un état de saleté du logement ou de ses installations dont on peut comprendre, pour la plupart d'entre elles, notamment sous les rubriques « WC » (cuvette, siège, chasse, porte-papier) et « cuisine » (évier, égouttoir, frigo-congélateur,</w:t>
      </w:r>
    </w:p>
    <w:p>
      <w:r>
        <w:t>- 8 - four, ventilation, armoires) que l'état de saleté est – de par la nature et l'usage des installations – considéré par la bailleresse comme imputable à la partie locataire ; il est également exact qu'au bas de ce document, une adjonction manuscrite décrivant l'appartement comme « très sale, asticots sur les murs » comporte une critique de l'état général de saleté de l'appartement qui met manifestement en cause la responsabilité de la partie locataire. Cependant, il ne ressort pas de l'état de fait retenu, ni de la demande du 6 janvier 2015, ni des lettres des 3 et 4 décembre 2013 qui accompagnaient la transmission de la convention de sortie, que ledit procès-verbal de l'état des lieux de sortie aurait été transmis aux locataires intimés. La pièce en question, produite à l'audience du 18 mai 2015, n'a d'ailleurs pas été produite en annexe audit courrier, ni dans le même bordereau, mais ultérieurement et indépendamment. Il n'est dès lors pas établi, quoi qu’en dise la recourante en procédure de recours, que le procès-verbal de l'état des lieux du 3 décembre 2013 aurait été porté en temps utile à la connaissance des intimés pour valoir avis des défauts. Partant, c’est à juste titre que le premier juge a considéré que le poste « nettoyage de l’appartement » n’avait pas fait l’objet d’un avis des défauts valable et qu’il n’y avait pas lieu de mettre la facture correspondante à la charge des intimés. S’agissant de la mention générale de « l'état pitoyable » de l’appartement dans le courrier accompagnant la convention de sortie, elle n’est pas suffisamment explicite, au regard de la jurisprudence et de la doctrine précitée, pour valoir avis du défaut de nettoyage de l’appartement. Il en va de même du contenu de la convention de sortie elle-même, insuffisant pour fonder une prétention en remboursement des frais de nettoyage, la motivation du premier juge à cet égard n’étant à juste titre pas remise en question.</w:t>
      </w:r>
    </w:p>
    <w:p>
      <w:r>
        <w:rPr>
          <w:b/>
        </w:rPr>
        <w:t>E. 4</w:t>
      </w:r>
    </w:p>
    <w:p>
      <w:r>
        <w:t>Il découle des considérants qui précèdent que le recours doit être rejeté et le jugement entrepris confirmé. Les frais judiciaires de deuxième instance, arrêtés à 100 fr. (art. 69 al. 1 et 70 al. 1 TFJC [tarif des frais judiciaires civils du 28 septembre 2010 ; RSV 270.11.5]), doivent être</w:t>
      </w:r>
    </w:p>
    <w:p>
      <w:r>
        <w:t>- 9 - mis à la charge de la recourante, qui succombe (art. 106 al. 1 CPC). Il n’y a pas lieu d’allouer de dépens aux intimés, ces derniers ne s’étant pas déterminés. Par ces motifs, la Chambre des recours civile du Tribunal cantonal, prononce : I. Le recours est rejeté. II. Le jugement est confirmé. III. Les frais judiciaires de deuxième instance, arrêtés à 100 fr. (cent francs), sont mis à la charge de la recourante B.______ SA. IV. L’arrêt motivé est exécutoire. Le président : Le greffier : Du 4 avril 2016 Le dispositif de l'arrêt qui précède est communiqué par écrit aux intéressés. Le greffier :</w:t>
      </w:r>
    </w:p>
    <w:p>
      <w:r>
        <w:t>- 10 - Du L'arrêt qui précède, dont la rédaction a été approuvée à huis clos, est notifié en expédition complète, par l'envoi de photocopies, à : - Me Robert Fox (pour B.______ SA), - H.________, -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