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XP21.048872 vom 3. Januar 2022</w:t>
      </w:r>
    </w:p>
    <w:p>
      <w:r>
        <w:t>VD Tribunal cantonal, 2022-01-03, FR</w:t>
      </w:r>
    </w:p>
    <w:p>
      <w:r>
        <w:rPr>
          <w:b/>
        </w:rPr>
        <w:t xml:space="preserve">Quelle: </w:t>
      </w:r>
      <w:r>
        <w:t>https://mcp.opencaselaw.ch/entscheid/vd_gerichte_XP21.048872</w:t>
      </w:r>
    </w:p>
    <w:p>
      <w:r>
        <w:t>FR: VD_GERICHTE XP21.048872 du 3 janvier 2022</w:t>
      </w:r>
    </w:p>
    <w:p>
      <w:r>
        <w:t>IT: VD_GERICHTE XP21.048872 del 3 gennaio 2022</w:t>
      </w:r>
    </w:p>
    <w:p>
      <w:pPr>
        <w:pStyle w:val="Heading2"/>
      </w:pPr>
      <w:r>
        <w:t>Erwägungen</w:t>
      </w:r>
    </w:p>
    <w:p>
      <w:r>
        <w:rPr>
          <w:b/>
        </w:rPr>
        <w:t>E. 1</w:t>
      </w:r>
    </w:p>
    <w:p>
      <w:r>
        <w:t>Par contrat de bail du 20 février 2020, A.N.________ et B.N.________, en qualité de bailleurs, ont remis en location à P.________, en qualité de locataire, avec effet au 1er avril 2020, un appartement de trois pièces situé dans un chalet propriété des bailleurs, ainsi qu’une place de parc extérieure.</w:t>
      </w:r>
    </w:p>
    <w:p>
      <w:r>
        <w:rPr>
          <w:b/>
        </w:rPr>
        <w:t>E. 2.1</w:t>
      </w:r>
    </w:p>
    <w:p>
      <w:r>
        <w:t>Par acte du 30 octobre 2020, P.________ a saisi le Tribunal des baux (ci-après : le tribunal) d’une action en réduction de loyer pour défauts de l’objet loué et en validation de la consignation des loyers dirigée contre A.N.________ et B.N.________. Au pied de leur réponse du 15 mars 2021, ceux-ci ont reconventionnellement conclu à ce qu’ordre soit donné à P.________ de libérer toutes les surfaces ne faisant pas l’objet du contrat de bail précité – soit notamment le jardin, la paroi nord du chalet, la terrasse, le local à vélos et l’espace sous l’escalier extérieur – de tout objet appartenant à l’intéressé, interdiction étant faite à celui-ci, sous la menace de la peine d’amende de l’art. 292 CP (Code pénal suisse du 21 décembre 1937 ; RS 311.0), de jouir d’autres espaces que ceux remis à bail. Par jugement du 16 août 2021, dont les considérants écrits ont été communiqués le 16 décembre 2021 pour notification aux parties, le tribunal a notamment ordonné à P.________ d’enlever tout objet lui appartenant de la terrasse contiguë à l’entrée de son appartement, soit notamment une malle en osier couverte d’une bâche militaire, ainsi que tout objet lui appartenant entreposé dans le galetas, et de retirer l’échelle à chat fixée sur la paroi nord du chalet.</w:t>
      </w:r>
    </w:p>
    <w:p>
      <w:r>
        <w:rPr>
          <w:b/>
        </w:rPr>
        <w:t>E. 2.2</w:t>
      </w:r>
    </w:p>
    <w:p>
      <w:r>
        <w:t>Par requête datée du 12 novembre 2021, P.________ a en substance conclu à ce que la Présidente du Tribunal des baux (ci-après : la présidente) ordonne sans délai à A.N.________ et B.N.________ de remettre</w:t>
      </w:r>
    </w:p>
    <w:p>
      <w:r>
        <w:t>- 3 - à leur place l’échelle à chat et la malle en osier susmentionnées, de même que le caisson de jardin initialement placé contre l’échelle à chat, déplacés par les bailleurs sur la place de parc de l’intéressé. Par décision du 21 décembre 2021, la présidente a rejeté ces conclusions.</w:t>
      </w:r>
    </w:p>
    <w:p>
      <w:r>
        <w:rPr>
          <w:b/>
        </w:rPr>
        <w:t>E. 3</w:t>
      </w:r>
    </w:p>
    <w:p>
      <w:r>
        <w:t>Par acte du 28 décembre 2021, P.________ (ci-après : le recourant) a interjeté recours de la décision du 21 décembre 2021 en concluant en substance à ce que les objets déplacés par A.N.________ et B.N.________ (ci-après : les intimés) soient remis à leur place initiale.</w:t>
      </w:r>
    </w:p>
    <w:p>
      <w:r>
        <w:rPr>
          <w:b/>
        </w:rPr>
        <w:t>E. 4</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dont la valeur litigieuse au dernier état des conclusions est inférieure à 10'000 fr. (art. 308 al. 2 CPC a contrario). En matière de mesures provisionnelles, le recours doit être interjeté dans les dix jours à compter de la notification de la décision motivée ou de la notification postérieure de la motivation (art. 248 let. d et 321 al. 1 et 2 CPC) auprès de la Chambre des recours civile (art. 73 al. 1 LOJV [loi vaudoise d’organisation judiciaire du 12 septembre 1979 ; BLV 173.01]). En l’espèce, le recours a été formé en temps utile contre une décision sujette à recours par une personne disposant d’un intérêt digne de protection (art. 59 al. 2 let. a CPC).</w:t>
      </w:r>
    </w:p>
    <w:p>
      <w:r>
        <w:rPr>
          <w:b/>
        </w:rPr>
        <w:t>E. 5.1</w:t>
      </w:r>
    </w:p>
    <w:p>
      <w:r>
        <w:t>Pour être recevable, le recours doit en outre être motivé (art. 321 al. 1 in initio CPC). La motivation doit, à tout le moins, satisfaire aux exigences qui sont posées pour un mémoire d’appel (TF 5A_247/2013</w:t>
      </w:r>
    </w:p>
    <w:p>
      <w:r>
        <w:t>- 4 - du 15 octobre 2013 consid. 3.3).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consid. 2.3.3 et les références citées ; TF 5D_43/2019 du 24 mai 2019 consid. 3.2.2.1).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5A_2015 du 21 août 2015 consid. 3.2.2 ; TF 4A_659/2011 du 7 décembre 2011 consid. 5, SJ 2012 I 231, in Revue suisse de procédure civile [RSPC] 2012 p. 128).</w:t>
      </w:r>
    </w:p>
    <w:p>
      <w:r>
        <w:rPr>
          <w:b/>
        </w:rPr>
        <w:t>E. 5.2</w:t>
      </w:r>
    </w:p>
    <w:p>
      <w:r>
        <w:t>En l’espèce, dans son écriture, le recourant se contente de rappeler le sort que la présidente a réservé à sa requête du 12 novembre 2021 et de conclure à ce que les objets litigieux soient remis à leur place initiale. Le recours ne comporte en revanche pas de contestation de la décision attaquée, le recourant ne se livrant à aucune critique du raisonnement de la présidente. C’est dire que le recours n’est pas motivé de façon à permettre l’examen d’un grief recevable. Vu l’absence de toute motivation, le recours se révèle d’emblée irrecevable (art. 322 al. 1 in fine CPC).</w:t>
      </w:r>
    </w:p>
    <w:p>
      <w:r>
        <w:t>- 5 -</w:t>
      </w:r>
    </w:p>
    <w:p>
      <w:r>
        <w:rPr>
          <w:b/>
        </w:rPr>
        <w:t>E. 6</w:t>
      </w:r>
    </w:p>
    <w:p>
      <w:r>
        <w:t>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P.________, - Me Adrien Gutowski (pour A.N.________ et B.N.________).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w:t>
      </w:r>
    </w:p>
    <w:p>
      <w:r>
        <w:t>- 6 -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