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XC25.032173 vom 20. Januar 2026</w:t>
      </w:r>
    </w:p>
    <w:p>
      <w:r>
        <w:t>VD Tribunal cantonal, 2026-01-20, FR</w:t>
      </w:r>
    </w:p>
    <w:p>
      <w:r>
        <w:rPr>
          <w:b/>
        </w:rPr>
        <w:t xml:space="preserve">Quelle: </w:t>
      </w:r>
      <w:r>
        <w:t>https://mcp.opencaselaw.ch/entscheid/vd_gerichte_XC25.032173</w:t>
      </w:r>
    </w:p>
    <w:p>
      <w:r>
        <w:t>FR: VD_GERICHTE XC25.032173 du 20 janvier 2026</w:t>
      </w:r>
    </w:p>
    <w:p>
      <w:r>
        <w:t>IT: VD_GERICHTE XC25.032173 del 20 gennaio 2026</w:t>
      </w:r>
    </w:p>
    <w:p>
      <w:pPr>
        <w:pStyle w:val="Heading2"/>
      </w:pPr>
      <w:r>
        <w:t>Erwägungen</w:t>
      </w:r>
    </w:p>
    <w:p>
      <w:r>
        <w:rPr>
          <w:b/>
        </w:rPr>
        <w:t>E. 4.1</w:t>
      </w:r>
    </w:p>
    <w:p>
      <w:r>
        <w:t>L'appelante invoque ensuite une violation de son droit d'être entendue. En substance, elle fait valoir que la décision litigieuse a été rendue après que la présidente a fixé un délai de déterminations à l’intimée et a écrit aux parties pour leur dire qu'elle envisageait une jonction de causes avec la procédure opposant D.________ Sàrl à l’intimée, qui a d'ailleurs accepté cette jonction. L’appelante estime que l'examen de la recevabilité aurait dû être fait avant cet échange de correspondances. Or, ce n'est qu'après les démarches précitées que la décision d'irrecevabilité a 19J010</w:t>
      </w:r>
    </w:p>
    <w:p>
      <w:r>
        <w:t>- 8 - été notifiée, sans que l’appelante n'ait été interpellée au sujet de cette question, ce qui constituerait une violation de l'art. 29 al. 2 Cst. (Constitution fédérale de la Confédération suisse du 18 avril 1999 ; RS 101).</w:t>
      </w:r>
    </w:p>
    <w:p>
      <w:r>
        <w:rPr>
          <w:b/>
        </w:rPr>
        <w:t>E. 4.2.1</w:t>
      </w:r>
    </w:p>
    <w:p>
      <w:r>
        <w:t>L'art. 59 al. 1 CPC (Code de procédure civile du 19 décembre 2008 ; RS 272) prévoit que le tribunal n'entre en matière que sur les demandes et les requêtes qui satisfont aux conditions de recevabilité de l'action. De manière générale, le tribunal examine d’office si les conditions de recevabilité sont réalisées (art. 60 CPC), ce même sans objection sur ce point des parties (ATF 149 III 12 consid. 3.1.1.2, in RSPC 2023 p. 80 notes Fitzi/Wojcik et Droese ; TF 4A_229/2017 du 7 décembre 2017 consid. 3.3.2 ; Bohnet, op. cit., n. 92 ad art. 59 CPC). En raison du principe d’économie de procédure, le premier examen des conditions de recevabilité se fait d’entrée de cause ou du moins le plus rapidement possible (Copt/Chabloz, Petit commentaire du CPC [ci-après : PC CPC], art. 60 n. 6) mais elle peut être constatée à tout stade de la procédure, à savoir également devant l’instance d’appel (TF 5A_231/2018 du 28 septembre 2018 consid. 3.2 ; TF 4A_229/2017 précitée consid. 3.2 ; CACI 28 juin 2024/298).</w:t>
      </w:r>
    </w:p>
    <w:p>
      <w:r>
        <w:rPr>
          <w:b/>
        </w:rPr>
        <w:t>E. 4.2.2</w:t>
      </w:r>
    </w:p>
    <w:p>
      <w:r>
        <w:t>Le droit d’être entendu, garanti à l’art. 29 al. 2 Cst., comprend notamment le droit pour le justiciable de s’expliquer avant qu’une décision soit prise à son détriment (ATF 146 IV 218 consid. 3.1.1 ; ATF 146 III 97 consid. 3.4.1 ; TF 7B_518/2024 du 24 octobre 2024 consid. 5.2). En principe, la violation du droit d’être entendu entraîne l'annulation de la décision attaquée, indépendamment des chances de succès du recours sur le fond. Cela étant,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148 IV 19J010</w:t>
      </w:r>
    </w:p>
    <w:p>
      <w:r>
        <w:t>- 9 - 22 consid. 5.5.2 ; ATF 145 I 167 consid. 4.4 ; ATF 142 Il 218 consid. 2.8.1 ; TF 6B_1296/2023 du 3 septembre 2024 consid. 4.2.1).</w:t>
      </w:r>
    </w:p>
    <w:p>
      <w:r>
        <w:rPr>
          <w:b/>
        </w:rPr>
        <w:t>E. 4.3</w:t>
      </w:r>
    </w:p>
    <w:p>
      <w:r>
        <w:t>La présidente a adressé la demande pour déterminations à la partie adverse et a annoncé son intention de joindre les causes avant de prononcer la demande irrecevable. Toutefois, cela ne porte pas à conséquence dans la mesure où, comme rappelé ci-dessus, l’irrecevabilité d’un acte peut être constatée en tout temps, soit à tout stade de la procédure. Le grief de l’appelante à cet égard doit dès lors être écarté. Il est exact que l’appelante n'a pas été interpellée sur la recevabilité avant que la décision querellée ne soit rendue. Néanmoins, sous l'angle du droit d'être entendu ici invoqué, le vice peut être réparé en deuxième instance. L'appelante a en effet eu l'occasion de s'exprimer sur la question de la recevabilité dans le cadre de son écriture d'appel devant une autorité disposant du même pouvoir d’examen que celle de première instance, de sorte que le vice est guéri. Il n’y a pas lieu d’annuler la décision entreprise pour ce point.</w:t>
      </w:r>
    </w:p>
    <w:p>
      <w:r>
        <w:rPr>
          <w:b/>
        </w:rPr>
        <w:t>E. 5.1</w:t>
      </w:r>
    </w:p>
    <w:p>
      <w:r>
        <w:t>L'appelante poursuit en tentant de démontrer qu'elle dispose d'un intérêt digne de protection, ce qui aurait dû conduire la présidente à admettre la recevabilité de sa demande.</w:t>
      </w:r>
    </w:p>
    <w:p>
      <w:r>
        <w:rPr>
          <w:b/>
        </w:rPr>
        <w:t>E. 5.2.1</w:t>
      </w:r>
    </w:p>
    <w:p>
      <w:r>
        <w:t>Selon l'art. 88 CPC, le demandeur intente une action en constatation de droit pour faire constater par un tribunal l'existence ou l'inexistence d'un droit ou d'un rapport de droit. Selon la jurisprudence et conformément à l'art. 59 al. 2 let. a CPC, une telle action n'est recevable que si le demandeur y a un intérêt digne de protection. L'action en constatation de droit de l'art. 88 CPC est ouverte si le demandeur a un intérêt – de fait ou de droit – digne de protection à la constatation immédiate de la situation de droit. Il découle de la jurisprudence antérieure, toujours applicable sur ces points, qu'il faut qu'il y ait une incertitude concernant les 19J010</w:t>
      </w:r>
    </w:p>
    <w:p>
      <w:r>
        <w:t>- 10 - droits du demandeur, que la suppression de cette incertitude soit justifiée, en ce sens que l'on ne peut exiger du demandeur qu'il tolère plus longtemps la persistance de cette incertitude parce qu'elle l'entrave dans sa liberté de décision, que cette incertitude puisse être levée par la constatation judiciaire et qu'une action condamnatoire ou une action formatrice, qui lui permettrait d'obtenir directement le respect de son droit ou l'exécution de son obligation, ne soit pas ouverte (ATF 135 III 378 consid. 2.2 ; TF 4A_688/2016 du 5 avril 2017 consid. 3.1). Il suit de la quatrième condition que l’action en constatation de droit est subsidiaire par rapport à une action condamnatoire ou une action formatrice (ATF 135 III 378 consid. 2.2 ; TF 4A_688/2016 précité ibidem).</w:t>
      </w:r>
    </w:p>
    <w:p>
      <w:r>
        <w:rPr>
          <w:b/>
        </w:rPr>
        <w:t>E. 5.2.2</w:t>
      </w:r>
    </w:p>
    <w:p>
      <w:r>
        <w:t>Qu’il s’agisse d’une demande (art. 59 al. 2 let. a CPC) ou d’un appel, l'intéressé doit démontrer qu'il a un intérêt digne de protection, soit un intérêt juridique actuel à voir le juge statuer sur ses conclusions (Bohnet, op. cit., n. 89 ad art. 59 CPC). Comme toute condition de recevabilité, l'intérêt doit exister au moment du jugement (ibid., n. 92 ad art. 59 CPC et n. 13 ad art. 60 CPC et réf. cit. ; Hohl, Procédure civile, tome I, Berne 2001, n. 318, p. 78). Lorsqu'une demande en justice ne répond pas à un intérêt digne de protection de son auteur, elle est ainsi irrecevable (ATF 140 III 159 consid. 4.2.4 ; Juge unique CACI 9 décembre 2024/549).</w:t>
      </w:r>
    </w:p>
    <w:p>
      <w:r>
        <w:rPr>
          <w:b/>
        </w:rPr>
        <w:t>E. 5.3</w:t>
      </w:r>
    </w:p>
    <w:p>
      <w:r>
        <w:t>L'appelante commence par rappeler les principes théoriques applicables à l'action constatatoire. Elle cite ensuite longuement un arrêt du Tribunal fédéral (ATF 132 III 65) admettant l'intérêt à la constatation de l'inexistence d'un bail en ce qui concerne une partie bailleresse qui s'opposait à l'inefficacité du congé. La situation n'est toutefois pas la même car, dans le cas traité par le Tribunal fédéral, on voit clairement l'intérêt du bailleur à ce que le locataire ne puisse plus continuer à bénéficier du bail. L'appelante soutient qu'en l'espèce, c'est à tort que la décision entreprise lui dénie un intérêt important et immédiat à la constatation, sous prétexte qu'elle n'encourt aucun préjudice et qu'elle n'évoque aucune velléité de l’intimée d'émettre des prétentions financières à son égard. Selon l’appelante, son intérêt réside dans la résolution d'une situation 19J010</w:t>
      </w:r>
    </w:p>
    <w:p>
      <w:r>
        <w:t>- 11 - juridique incertaine. En outre, un intérêt digne de protection n'est pas forcément de nature pécuniaire. Puisque l’intimée a adressé une résiliation de bail à l’appelante, c'est qu'elle estime qu'il y a un bail, donc elle pourrait faire valoir des prétentions contractuelles contre l’appelante, notamment en ce qui concerne l'obligation de restituer les locaux « dans l'état prévu ». Après avoir rappelé une fois encore qu'elle n'a jamais utilisé les locaux en cause, l’appelante soutient qu'il lui appartient, en application du principe de la bonne foi, de faire valoir la nullité du congé en constatant l'inexistence d'un bail. Elle ne saurait être laissée dans l'incertitude de savoir si elle est contractante d'un bail avec l’intimée, ou si c'est C.________ et/ou D.________ Sàrl qui sont liés par un tel contrat avec l’intimée. Bien qu'il appartienne à une partie demanderesse de s'exprimer spontanément sur la recevabilité de son acte, donc sur son intérêt à l'action, l’appelante n'a pas invoqué, dans sa demande, qu'elle avait à redouter des prétentions liées à l'obligation de restituer les locaux « dans l'état prévu ». C'est au contraire à juste titre que la présidente a constaté que l’appelante n'avait allégué aucune velléité de l’intimée de lui réclamer quoi que ce soit. La demande ne contient donc aucun élément fondant un besoin immédiat de protection face à un risque concret, de quelque nature qu'il soit. Selon la jurisprudence, l'invocation de n'importe quelle incertitude juridique ne suffit pas, il faut encore que celle-ci soit telle qu'on ne saurait exiger de la partie demanderesse qu'elle tolère plus longtemps son maintien (cf. consid. 5.2.1 supra). En l'espèce, on ne voit guère quelle circonstance commanderait de lever immédiatement une éventuelle incertitude par une action judiciaire. On peut en outre relever que la constatation de l'inexistence d'un bail n'empêcherait de toute manière pas l'intimée de faire valoir, à tort ou à raison, des prétentions en évacuation des lieux sur un fondement d'occupation sans droit. Finalement, sous l'angle de l'obligation d'agir de bonne foi, plaidée par l'appelante, on relève que celle-ci mentionne l'obligation de faire savoir à son cocontractant qu'elle est consciente de la nullité de l'acte de l'autre partie (appel, p. 13). Néanmoins, « faire savoir » ne signifie pas ouvrir action et implique encore moins de créer une action qui n'est pas prévue par la loi. 19J010</w:t>
      </w:r>
    </w:p>
    <w:p>
      <w:r>
        <w:t>- 12 -</w:t>
      </w:r>
    </w:p>
    <w:p>
      <w:r>
        <w:rPr>
          <w:b/>
        </w:rPr>
        <w:t>E. 6.1</w:t>
      </w:r>
    </w:p>
    <w:p>
      <w:r>
        <w:t>L'appelante conteste ensuite l'irrecevabilité des conclusions II à IV. Selon elle, leur recevabilité ne peut pas être niée du seul fait que l’appelante ait conclu principalement à la constatation de l'inexistence de tout bail entre les parties. Il s'agit là en effet d'une question préjudicielle. A supposer que cette question soit résolue par l'autorité de jugement dans un sens différent de celui plaidé par l’appelante, cette dernière a un intérêt à faire constater la nullité de la résiliation. L’appelante soutient que la décision attaquée confond questions de recevabilité et obligation d'alléguer : elle part en effet de la prémisse que les allégués 1 à 18, contestant toute relation contractuelle entre les parties, seraient exacts. Or, selon l’appelante, il faudrait d'abord instruire avant de les considérer comme tels, ce qui est l'objet de la procédure. Comme en l'espèce l’intimée prétend à l'existence d'un contrat de bail, l’appelante estime disposer d'un intérêt à prendre des conclusions qui se fondent sur ce contrat et qui font obstacle à la résiliation prononcée. L’appelante affirme avoir donc un intérêt immédiat à la constatation de la nullité de la résiliation, sous peine d'être entravée dans sa liberté d'action, notamment face aux demandes déjà formulées en relation avec les obligations découlant de la fin des relations contractuelles. Pour ce faire, l’appelante considère ne disposer d'aucune autre action que l'action constatatoire. En conclusion, selon elle, l’appelante avait bel et bien un intérêt à l'action, et la décision entreprise violerait la loi, aboutissant à un déni de justice.</w:t>
      </w:r>
    </w:p>
    <w:p>
      <w:r>
        <w:rPr>
          <w:b/>
        </w:rPr>
        <w:t>E. 6.2</w:t>
      </w:r>
    </w:p>
    <w:p>
      <w:r>
        <w:t>L'appelante a raison lorsqu'elle relève qu'une partie a le droit de prendre des conclusions qui s'excluent potentiellement (appel, p. 18). Elle a également raison de soutenir que celui qui reçoit une résiliation de bail peut la contester. Néanmoins, l'intérêt à l'action doit s'analyser eu égard aux circonstances du cas concret (PC CPC, n. 9 ad art. 88). Ces circonstances ne peuvent, au stade de la recevabilité qui doit être examinée d'entrée de cause ou, à tout le moins, le plus rapidement possible (cf. consid. 4.2.1 19J010</w:t>
      </w:r>
    </w:p>
    <w:p>
      <w:r>
        <w:t>- 13 - supra), que découler des allégations de la partie demanderesse. Ces allégués sont ainsi pertinents pour juger de l'intérêt dans le cas concret. On ne peut donc pas reprocher à la présidente de les avoir pris en compte dans son raisonnement. Sur la base de ces allégués, il n'est pas possible de concevoir un intérêt actuel et pratique à la constatation de la nullité de la résiliation d'un bail dont on soutient qu'il est inexistant et qui porte de surcroît sur un objet qu'on prétend ne jamais avoir loué ou occupé et n'avoir pas l'intention de le faire. Ce qui précède vaut à plus forte raison pour la conclusion en prolongation de bail (conclusion IV), sur laquelle l’appelante ne s'exprime pas.</w:t>
      </w:r>
    </w:p>
    <w:p>
      <w:r>
        <w:rPr>
          <w:b/>
        </w:rPr>
        <w:t>E. 7.1</w:t>
      </w:r>
    </w:p>
    <w:p>
      <w:r>
        <w:t>En définitive, l’appel doit être rejeté, selon la procédure de l’art. 312 al. 1 in fine CPC, et le jugement confirmé.</w:t>
      </w:r>
    </w:p>
    <w:p>
      <w:r>
        <w:rPr>
          <w:b/>
        </w:rPr>
        <w:t>E. 7.2</w:t>
      </w:r>
    </w:p>
    <w:p>
      <w:r>
        <w:t>Les frais judiciaires de la procédure d’appel, arrêtés à 750 fr. (art. 62 al. 1 TFJC [tarif des frais judiciaires civils du 28 septembre 2020 ; BLV 270.11.5]), doivent être mis à la charge de l’appelante, qui succombe (art. 106 al. 1 CPC). L’intimée n’ayant pas été invitée à déposer une réponse,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