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XC18.052318 vom 16. September 2020</w:t>
      </w:r>
    </w:p>
    <w:p>
      <w:r>
        <w:t>VD Tribunal cantonal, 2020-09-16, FR</w:t>
      </w:r>
    </w:p>
    <w:p>
      <w:r>
        <w:rPr>
          <w:b/>
        </w:rPr>
        <w:t xml:space="preserve">Quelle: </w:t>
      </w:r>
      <w:r>
        <w:t>https://mcp.opencaselaw.ch/entscheid/vd_gerichte_XC18.052318</w:t>
      </w:r>
    </w:p>
    <w:p>
      <w:r>
        <w:t>FR: VD_GERICHTE XC18.052318 du 16 septembre 2020</w:t>
      </w:r>
    </w:p>
    <w:p>
      <w:r>
        <w:t>IT: VD_GERICHTE XC18.052318 del 16 settembre 2020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résulte de ce qui précède que l’appel est, au sens de l’art. 312 al. 1 in fine CPC, manifestement irrecevable en ce qu’il provient de P.________ et manifestement infondé en ce qu’il est formé par C.________. Le jugement entrepris doit par conséquent être confirmé. Les frais judiciaires de deuxième instance, arrêtés à 5’000 fr. (art. 62 al. 1 TFJC [tarif des frais judiciaires civils du 28 septembre 2010 ; BLV 270.11.5]), seront mis à la charge de l’appelant C.________, qui succombe (art. 106 al. 1 CPC). Il n’y a pas lieu à l’allocation de dépens, l’intimée n’ayant pas été invitée à se déterminer.</w:t>
      </w:r>
    </w:p>
    <w:p>
      <w:r>
        <w:t>- 23 -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