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XC14.006173 vom 8. Mai 2014</w:t>
      </w:r>
    </w:p>
    <w:p>
      <w:r>
        <w:t>VD Tribunal cantonal, 2014-05-08, FR</w:t>
      </w:r>
    </w:p>
    <w:p>
      <w:r>
        <w:rPr>
          <w:b/>
        </w:rPr>
        <w:t xml:space="preserve">Quelle: </w:t>
      </w:r>
      <w:r>
        <w:t>https://mcp.opencaselaw.ch/entscheid/vd_gerichte_XC14.006173</w:t>
      </w:r>
    </w:p>
    <w:p>
      <w:r>
        <w:t>FR: VD_GERICHTE XC14.006173 du 8 mai 2014</w:t>
      </w:r>
    </w:p>
    <w:p>
      <w:r>
        <w:t>IT: VD_GERICHTE XC14.006173 del 8 maggio 2014</w:t>
      </w:r>
    </w:p>
    <w:p>
      <w:pPr>
        <w:pStyle w:val="Heading2"/>
      </w:pPr>
      <w:r>
        <w:t>Erwägungen</w:t>
      </w:r>
    </w:p>
    <w:p>
      <w:r>
        <w:rPr>
          <w:b/>
        </w:rPr>
        <w:t>E. 1</w:t>
      </w:r>
    </w:p>
    <w:p>
      <w:r>
        <w:t>Par contrat signé le 12 novembre 1999, L.________ a remis à bail à V.________ un garage à partir du 1er novembre 1999, comprenant notamment un bureau-exposition et un atelier de réparation.</w:t>
      </w:r>
    </w:p>
    <w:p>
      <w:r>
        <w:rPr>
          <w:b/>
        </w:rPr>
        <w:t>E. 2</w:t>
      </w:r>
    </w:p>
    <w:p>
      <w:r>
        <w:t>Le 25 juin 2013, L.________ a résilié le bail à loyer de V.________ avec effet au 31 octobre 2014.</w:t>
      </w:r>
    </w:p>
    <w:p>
      <w:r>
        <w:rPr>
          <w:b/>
        </w:rPr>
        <w:t>E. 3</w:t>
      </w:r>
    </w:p>
    <w:p>
      <w:r>
        <w:t>La procédure de conciliation introduite le 15 juillet 2013 par V.________ auprès de la Commission de conciliation n’ayant pas abouti, une autorisation de procéder lui a été délivrée le 27 janvier 2014.</w:t>
      </w:r>
    </w:p>
    <w:p>
      <w:r>
        <w:rPr>
          <w:b/>
        </w:rPr>
        <w:t>E. 4</w:t>
      </w:r>
    </w:p>
    <w:p>
      <w:r>
        <w:t>Par demande du 12 février 2014 déposée auprès du Tribunal des baux, V.________ a conclu à l’annulation de la résiliation de bail du 25 juin 2013, subsidiairement à la prolongation du bail jusqu’au 31 octobre 2020.</w:t>
      </w:r>
    </w:p>
    <w:p>
      <w:r>
        <w:rPr>
          <w:b/>
        </w:rPr>
        <w:t>E. 5</w:t>
      </w:r>
    </w:p>
    <w:p>
      <w:r>
        <w:t>Le 14 mars 2014, la Présidente du Tribunal des baux a demandé la production de son dossier à la Commission de conciliation, qu’elle a reçu le 19 mars 2014. Les parties ont ensuite été invitées à</w:t>
      </w:r>
    </w:p>
    <w:p>
      <w:r>
        <w:t>- 3 - consulter l’ensemble du dossier jusqu’à l’avant-veille de l’audience fixée au 16 juin 2014. Le 20 mars 2014, L.________ a demandé le retranchement du dossier de la Commission de conciliation, en faisant valoir la confidentialité de la procédure selon l’art. 205 CPC. En d roit : 1. La décision attaquée est une ordonnance d’instruction portant sur le refus de retrancher des pièces du dossier. Le CPC n’institue aucun recours à l’encontre de ce type de décision. Conformément à l’art. 319 let. b ch. 2 CPC, le recourant doit par conséquent alléguer et rendre vraisemblable l’existence d’un préjudice difficilement réparable que lui causerait une telle décision. En l’espèce, L.________ invoque une violation de l’art. 205 al. 1 CPC, selon lequel les dépositions des parties ne doivent ni figurer au procès-verbal de conciliation ni être prises en compte par la suite, durant la procédure au fond. Il n’expose toutefois pas en quoi la décision attaquée pourrait lui causer un préjudice difficilement réparable selon l’art. 319 let. b ch. 2 CPC, de sorte que le recours doit être déclaré irrecevable. Au demeurant, on ne conçoit pas quel pourrait être ce préjudice, dès lors que le dossier de la Commission de conciliation ne contient pas les dépositions visées par l’art. 205 CPC. 2. Le présent arrêt est rendu sans frais.</w:t>
      </w:r>
    </w:p>
    <w:p>
      <w:r>
        <w:t>- 4 - Par ces motifs, la Chambre des recours civile du Tribunal cantonal, statuant à huis clos, prononce : I. Le recours est irrecevable. II. L’arrêt est rendu sans frais. Le président : La greffière : Du L'arrêt qui précède, dont la rédaction a été approuvée à huis clos, est notifié en expédition complète, par l'envoi de photocopies, à : - M. Jean-Marc Schlaeppi (pour L.________) - Me Olivier Carrel (pour V.________)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