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XC14.003547 vom 18. August 2017</w:t>
      </w:r>
    </w:p>
    <w:p>
      <w:r>
        <w:t>VD Tribunal cantonal, 2017-08-18, FR</w:t>
      </w:r>
    </w:p>
    <w:p>
      <w:r>
        <w:rPr>
          <w:b/>
        </w:rPr>
        <w:t xml:space="preserve">Quelle: </w:t>
      </w:r>
      <w:r>
        <w:t>https://mcp.opencaselaw.ch/entscheid/vd_gerichte_XC14.003547</w:t>
      </w:r>
    </w:p>
    <w:p>
      <w:r>
        <w:t>FR: VD_GERICHTE XC14.003547 du 18 août 2017</w:t>
      </w:r>
    </w:p>
    <w:p>
      <w:r>
        <w:t>IT: VD_GERICHTE XC14.003547 del 18 agosto 2017</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w:t>
      </w:r>
    </w:p>
    <w:p>
      <w:r>
        <w:t>- 4 - qu’il est lié par ce qui a déjà été tranché définitivement par le Tribunal fédéral et par les constatations de fait qui n’ont pas été attaquées devant celui-ci (ATF 135 III 334 consid. 2 ; TF 4A_555/2015 du 18 mars 2016 consid. 2.2 et réf.). En l’espèce, conformément au chiffre 5 du dispositif de l’arrêt du Tribunal fédéral du 23 mai 2017, le seul objet du présent arrêt est de fixer les frais judiciaires et les dépens des instances cantonales.</w:t>
      </w:r>
    </w:p>
    <w:p>
      <w:r>
        <w:t>- 5 -</w:t>
      </w:r>
    </w:p>
    <w:p>
      <w:r>
        <w:rPr>
          <w:b/>
        </w:rPr>
        <w:t>E. 2</w:t>
      </w:r>
    </w:p>
    <w:p>
      <w:r>
        <w:t>CPC).</w:t>
      </w:r>
    </w:p>
    <w:p>
      <w:r>
        <w:rPr>
          <w:b/>
        </w:rPr>
        <w:t>E. 2.1</w:t>
      </w:r>
    </w:p>
    <w:p>
      <w:r>
        <w:t>En l’espèce, compte tenu de l’arrêt du Tribunal fédéral du 23 mai 2017, l’appelante obtient en définitive gain de cause tant sur la validité des résiliations signifiées à l’intimée que sur le non-octroi à cette dernière d’une prolongation du bail. Dans ces circonstances, les frais judiciaires et les dépens tant de première que de deuxième instance doivent être mis à la charge de l’intimée, qui succombe entièrement (art. 106 al. 1 CPC). Les frais judiciaires de première instance, arrêtés à 9'618 fr., seront donc mis à la charge de la demanderesse R.________ SA, celle-ci devant en outre verser à la défenderesse Y.________ SA la somme de 9'450 fr. à titre de dépens de première instance. Quant aux frais judiciaires de deuxième instance, arrêtés à 6'734 fr., ils seront mis à la charge de l’intimée R.________ SA, qui versera à l’appelante Y.________ SA ce montant à titre de restitution de l’avance de frais de deuxième instance que cette dernière a effectuée. R.________ SA versera en outre à Y.________ SA la somme de 8'000 fr. à titre de dépens de deuxième instance.</w:t>
      </w:r>
    </w:p>
    <w:p>
      <w:r>
        <w:t>- 6 - Le présent arrêt peut être rendu sans frais, l’art. 5 al. 1 TFJC (tarif des frais judiciaires civils du 28 septembre 2010 ; RSV 270.11.5) prévoyant qu’il n’est pas perçu de nouvel émolument forfaitaire de décision pour le jugement d’une cause renvoyée ensuite d’un 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