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XC13.027587 vom 10. Dezember 2013</w:t>
      </w:r>
    </w:p>
    <w:p>
      <w:r>
        <w:t>VD Tribunal cantonal, 2013-12-10, FR</w:t>
      </w:r>
    </w:p>
    <w:p>
      <w:r>
        <w:rPr>
          <w:b/>
        </w:rPr>
        <w:t xml:space="preserve">Quelle: </w:t>
      </w:r>
      <w:r>
        <w:t>https://mcp.opencaselaw.ch/entscheid/vd_gerichte_XC13.027587</w:t>
      </w:r>
    </w:p>
    <w:p>
      <w:r>
        <w:t>FR: VD_GERICHTE XC13.027587 du 10 décembre 2013</w:t>
      </w:r>
    </w:p>
    <w:p>
      <w:r>
        <w:t>IT: VD_GERICHTE XC13.027587 del 10 dicembre 2013</w:t>
      </w:r>
    </w:p>
    <w:p>
      <w:pPr>
        <w:pStyle w:val="Heading2"/>
      </w:pPr>
      <w:r>
        <w:t>Erwägungen</w:t>
      </w:r>
    </w:p>
    <w:p>
      <w:r>
        <w:rPr>
          <w:b/>
        </w:rPr>
        <w:t>E. 1</w:t>
      </w:r>
    </w:p>
    <w:p>
      <w:r>
        <w:t>a) L’appel est recevable contre les décisions finales de première instance (art. 308 al. 1 let. a CPC [code de procédure civile du 19 décembre 2008 ; RS 272]) au sens de l’art. 236 CPC, dans les causes patrimoniales dont la valeur litigieuse dépasse 10’000 fr. (art. 308 al. 2 C PC). Il est introduit auprès de l’instance d’appel dans les trente jours à compter de la notification de la décision motivée ou de la notification postérieure de la motivation (art. 311 al. 1 CPC).</w:t>
      </w:r>
    </w:p>
    <w:p>
      <w:r>
        <w:t>- 6 - b) En l’espèce, formé en temps utile contre une décision finale de première instance rendue dans une cause patrimoniale dont les conclusions portaient sur un montant supérieur à 10’000 francs, l’appel est formellement recevable.</w:t>
      </w:r>
    </w:p>
    <w:p>
      <w:r>
        <w:rPr>
          <w:b/>
        </w:rPr>
        <w:t>E. 2</w:t>
      </w:r>
    </w:p>
    <w:p>
      <w:r>
        <w:t>a) Selon la jurisprudence du Tribunal fédéral, bien que l’existence d’une autorisation de procéder valable, délivrée par l’autorité de conciliation,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tribunal doit examiner d’office en vertu de l’art. 60 CPC (ATF 139 III 279 c. 2.1 et les références citées); b) En l’espèce, le contrat de bail du 19 octobre 2012 a été conclu entre l’Hoirie C.J.________ — composée de A.J.________ et B.J.________ —, représentée par la Régie Immobilière G.________ SA, en tant que partie bailleresse, et A.S.________ et B.S.________, en tant que partie locataire. L’autorisation de procéder délivrée le 28 mai 2013 par la Commission de conciliation indique comme partie intimée, bailleresse et propriétaire de l’immeuble, A.J.________ et A.J.________, dont le mandataire était la Régie Immobilière G.________ SA. Or, la demande adressée au Tribunal des baux n’est pas dirigée contre la partie bailleresse indiquée dans l’autorisation de procéder, soit A.J.________ et B.J.________, mais contre la Régie Immobilière G.________ SA, qui n’est que la représentante de la partie bailleresse. C’est dès lors à juste titre que les premiers juges ont déclaré irrecevable la demande du 22 juin 2013, complétée le 13 août 2013, puisqu’elle était dirigée contre une autre personne que celle désignée comme partie intimée bailleresse dans l’autorisation de procéder délivrée le 28 mai 2013 (cf. Bohnet, CPC Commenté, n. 65 ad art. 59 CPC et n. 7 ad art. 209 CPC; CACI 19 août 2013/411 c. 3). c) Au surplus, même si la demande avait été dirigée contre A.J.________ et B.J.________, elle aurait de toute manière dû être déclarée irrecevable en tant qu’elle porte sur des conclusions qui n’ont pas été</w:t>
      </w:r>
    </w:p>
    <w:p>
      <w:r>
        <w:t>- 7 - soumises à l’autorité de conciliation (cf. Bohnet, CPC Commenté, n. 65 ad art. 59 CPC et n. 7 ad art. 209 CPC), les seules conclusions soumises à l’autorité de conciliation — soit l’annulation de la résiliation de bail — se révélant quant à elles irrecevables du fait que les demandeurs ont, selon leurs propres indications, déménagé le 22 juillet 2013 dans un autre appartement et qu’ils n’ont ainsi plus aucun intérêt digne de protection à l’annulation de la résiliation litigieuse (art. 59 al. 2 let. a CPC).</w:t>
      </w:r>
    </w:p>
    <w:p>
      <w:r>
        <w:rPr>
          <w:b/>
        </w:rPr>
        <w:t>E. 3</w:t>
      </w:r>
    </w:p>
    <w:p>
      <w:r>
        <w:t>Il résulte de ce qui précède que l’appel doit être rejeté dans la procédure de l’art. 312 al. 1 CPC et la décision entreprise confirmée. L’arrêt peut être rendu sans frais au vu des circonstances (art. 10 TFJC [Tarif des frais judiciaires civils du 28 septembre 2010 ; RSV 270.11.5]), ce qui rend sans objet la requête d’assistance judiciaire présentée par les appelants.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