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XC13.026422 vom 11. Dezember 2013</w:t>
      </w:r>
    </w:p>
    <w:p>
      <w:r>
        <w:t>VD Tribunal cantonal, 2013-12-11, FR</w:t>
      </w:r>
    </w:p>
    <w:p>
      <w:r>
        <w:rPr>
          <w:b/>
        </w:rPr>
        <w:t xml:space="preserve">Quelle: </w:t>
      </w:r>
      <w:r>
        <w:t>https://mcp.opencaselaw.ch/entscheid/vd_gerichte_XC13.026422</w:t>
      </w:r>
    </w:p>
    <w:p>
      <w:r>
        <w:t>FR: VD_GERICHTE XC13.026422 du 11 décembre 2013</w:t>
      </w:r>
    </w:p>
    <w:p>
      <w:r>
        <w:t>IT: VD_GERICHTE XC13.026422 del 11 dicembre 2013</w:t>
      </w:r>
    </w:p>
    <w:p>
      <w:pPr>
        <w:pStyle w:val="Heading2"/>
      </w:pPr>
      <w:r>
        <w:t>Erwägungen</w:t>
      </w:r>
    </w:p>
    <w:p>
      <w:r>
        <w:rPr>
          <w:b/>
        </w:rPr>
        <w:t>E. 8</w:t>
      </w:r>
    </w:p>
    <w:p>
      <w:r>
        <w:t>Constatant l’échec de la conciliation à l’issue de l’audience du</w:t>
      </w:r>
    </w:p>
    <w:p>
      <w:r>
        <w:rPr>
          <w:b/>
        </w:rPr>
        <w:t>E. 12</w:t>
      </w:r>
    </w:p>
    <w:p>
      <w:r>
        <w:t>mars 2013, la Commission de conciliation a délivré à T.________SA une autorisation de procéder et de porter l’action devant le Tribunal des baux dans les trente jours. 9. Par demande du 17 juin 2013 adressée au Tribunal des baux, T.________SA a conclu à l’inefficacité, subsidiairement à l’annulation de la résiliation de bail du 22 août 2012. Le 14 août 2013, T.________SA a relevé que les bailleurs n’avaient pas pris de conclusions en expulsion devant la Commission de conciliation et qu’aucune autorisation de procéder ne leur avait été délivrée, de sorte que seul le Tribunal des baux était compétent pour statuer sur la validité de la résiliation du bail à loyer, le litige ne portant pas sur l’expulsion. Le 22 août 2013, B.V.________ et A.V.________ ont soutenu que la cause déposée auprès du Tribunal des baux était de la compétence du Juge de paix et ont conclu, reconventionnellement, à l’expulsion de la locataire. En d roit :</w:t>
      </w:r>
    </w:p>
    <w:p>
      <w:r>
        <w:t>- 5 - 1. Le litige porte sur l’irrecevabilité d’une demande en contestation de congé pour défaut de paiement du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I’annulabilité d’une résiliation (JT 2011 III 43 ; TF 4A_634/2009 du 3 mars 2010 c. 1.1 ; SJ 2001 I 17 c. 1a ; ATF 119 II 147 c. 1). En l’espèce, la valeur litigieuse est supérieure à 10'000 fr., de sorte que la voie de l’appel est ouverte. En outre, interjeté dans les trente jours (art. 311 al. 1 CPC) par une partie qui y a intérêt (art. 59 al. 2 let. a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3. a) L’appelante invoque une violation des art. 1 LTB (loi du 9 novembre 2010 sur la juridiction en matière de bail ; RSV 173.655) et 5 al. 1 ch. 30 CDPJ (Code de droit privé judiciaire vaudois du 12 janvier 2010 ; RSV 211.02) et soutient que, les bailleurs n’ayant pas pris de conclusion expresse en expulsion devant la Commission de conciliation, la procédure relevait de la compétence du Tribunal des baux.</w:t>
      </w:r>
    </w:p>
    <w:p>
      <w:r>
        <w:t>- 6 - b) En vertu de l’art. 1 LJB, cette loi s’applique aux contestations relatives aux baux à loyer portant sur des choses immobilières, quelle que soit la valeur litigieuse (al. 1), mais pas aux procédures d’expulsion dans le cas où le bail est résilié en raison d’un retard dans le paiement du loyer (al. 3). Les contestations de l’art. 1 al. 1 LJB relèvent de la compétence exclusive du Tribunal des baux (art. 2 al. 1 LJB), tandis que le Juge de paix est compétent pour expulser l’ancien locataire ou fermier dont le bail a été résilié faute de paiement du loyer ou du fermage (art. 5 al. 1 ch. 30 CDPJ). Dans un arrêt du 29 mai 2012/250, la Cour de céans a considéré que, dans le cadre d’un congé donné pour défaut de paiement du loyer en application de l’art. 257d CO, lorsque des conclusions en expulsion sont prises par le bailleur devant la Commission de conciliation à titre principal ou reconventionnel, cette dernière devra indiquer dans son autorisation de procéder le Juge de paix comme autorité devant laquelle devra être portée l’affaire en procédure simplifiée, que l’autorisation de procéder soit délivrée au bailleur ou au locataire et qu’elle soit délivrée immédiatement après l’échec de la conciliation ou ensuite d’opposition après proposition de jugement. L’action au fond, qu’elle soit intentée par le bailleur en expulsion ou par le locataire en contestation du congé, devra être introduite devant le Juge de paix (JT 2012 III 126 ; CdB 2012 p. 97, note Sonnenberg). Cet arrêt laissait ouverte la question de la compétence du Juge de paix dans les litiges portant sur un congé donné en application de l’art. 257d CO lorsque le bailleur n’avait pas pris de conclusion en expulsion devant la Commission de conciliation. Dans un arrêt du 23 janvier 2013/55, la Cour de céans a considéré que la LJB avait repris la répartition des compétences entre le Tribunal des baux et le Juge de paix qui existait déjà sous le régime de l’ancien droit cantonal. Sous l’empire de l’art. 1 al. 1 aLPEBL (loi du 18 mai</w:t>
      </w:r>
    </w:p>
    <w:p>
      <w:r>
        <w:t>- 7 - 1955 sur la procédure d’expulsion en matière de baux à loyer et à ferme, en vigueur jusqu’au 31 décembre 2010), la compétence du Juge de paix présupposait que des conclusions en expulsion aient été prises par le bailleur (Byrde/Giroud Walther/Hack, Procédures spéciales vaudoises, n. 4 ad art. 1 LPEBL). On devait considérer qu’il en allait de même dans le nouveau droit, au regard du texte clair des art. 1 al. 3 LJB et 5 al. 1 ch. 30 CDPJ, qui parlent de « procédure d’expulsion », ce qui présupposait qu’une conclusion ait été prise en ce sens par le bailleur. Dans les hypothèses – qui devraient rester rares – où le bailleur n’avait pas pris de conclusions principales ou reconventionnelles en expulsion devant la Commission de conciliation, ni agi en expulsion par la procédure en cas clair de l’art. 257 CPC directement devant le Juge de paix, on devait dès lors retenir une compétence du Tribunal des baux, conformément à la règle générale de l’art. 1 al. 1 LJB. c) L’appelante se prévaut en vain de cette dernière jurisprudence. En l’espèce, les intimés ont déposé le 19 octobre 2012 une requête d’expulsion en cas clair devant le Juge de paix. Cela étant, la Commission de conciliation a suspendu le 22 octobre 2012 la procédure en annulation du congé déposée devant elle par l’appelante par requête du 9 septembre 2012 jusqu’à droit connu sur la requête d’expulsion. Le 31 janvier 2013, les intimés ont retiré leur requête d’expulsion, admettant que « la présente cause ne répond[ait] plus aux exigences de l’art. 257 CPC », tout en indiquant qu’ils maintenaient leur résiliation et que le litige « continuera[it] donc devant la Commission de conciliation ». Le même jour, les intimés ont informé la Commission de conciliation de ce que la procédure d’expulsion en cas clair engagée auprès du Juge de paix était terminée, un désistement d’instance étant intervenu, et lui ont demandé de se saisir à nouveau de l’instance. On peut déduire de ce qui précède que les intimés ont manifesté de manière suffisamment claire, quand bien même ils n’ont pas pris de conclusion formelle en expulsion à l’audience de conciliation du 12 mars 2013, qu’ils entendaient que la procédure sommaire en expulsion qu’ils avaient initiée devant le Juge de paix soit poursuivie devant la</w:t>
      </w:r>
    </w:p>
    <w:p>
      <w:r>
        <w:t>- 8 - Commission de conciliation en procédure simplifiée et donc qu’ils ne concluaient pas seulement que le congé soit reconnu valable, mais également que l’expulsion de la partie locataire soit prononcée. S’il devait subsister un doute sur ce point, il appartenait à la Commission de conciliation d’interpeller les intimés, en application de l’art. 56 CPC, ce qui aurait permis à ces derniers de clarifier leurs conclusions, comme ils l’ont fait ultérieurement en confirmant qu’ils entendaient conclure à l’expulsion. Dans ces circonstances, c’est à tort que la Commission de conciliation a délivré une autorisation de procéder devant le Tribunal des baux. S’il est vrai que le Tribunal fédéral semble considérer que l’autorisation de procéder ne constitue pas une décision susceptible de recours ou d’appel (ATF 139 III 273 c. 2), de sorte que l’on ne saurait reprocher à l’appelante de ne pas avoir saisi cette voie, il incombait en revanche à l’appelante de procéder directement devant le juge matériellement compétent, soit devant le Juge de paix. A cet égard, il y a lieu de considérer que l’indication par l’autorité de conciliation du tribunal devant qui l’action doit être introduite ne fait pas partie des mentions essentielles exigées par la loi (parties, conclusions et objet du litige, signature, cf. art. 209 al. 2 CPC), susceptibles de vicier formellement l’autorisation de procéder et nécessitant cas échéant une rectification de cette autorisation par application analogique de l’art. 334 CPC (Bohnet, CPC commenté, n. 9 ad art. 209 CPC et in RSPC 2013 p. 400). Il s’agit au contraire d’une indication erronée des voies de droit, qui n’est pas susceptible de créer une compétence du tribunal en réalité inexistante (ATF 129 III 88 c. 2.1 ; ATF 119 IV 330 c. 1c ; TF 4D_82/20l2 du 30 octobre 2012 c. 2.2). Il n’y a dès lors pas lieu à rectification préalable par l’autorité de conciliation sur ce point. Comme relevé par les premiers juges, la sanction de l’incompétence ratione loci – et ratione materiae dans le cas particulier – est en principe l’irrecevabilité, sauf cas non réalisé en l’espèce où il y a lieu de transmettre la cause s’il s’agit du choix de l’autorité collégiale ou du juge unique (CACI 5 septembre 2011/236 ; CACI 7 mai 2013/242).</w:t>
      </w:r>
    </w:p>
    <w:p>
      <w:r>
        <w:t>- 9 - 4. Il résulte de ce qui précède que l’appel doit être rejeté et la décision entreprise confirmée selon le mode procédural de l’art. 312 al. 1 CPC. Les frais judiciaires de deuxième instance sont arrêtés à 200 fr. (art. 62 al. 3 et 69 al. 1 TFJC [tarif des frais judiciaires civils du 28 septembre 2010 ; RSV 270.11.5]) et mis à la charge de l'appelante, qui succombe (art. 106 al. 1 CPC).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