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XC11.048277 vom 11. Juni 2013</w:t>
      </w:r>
    </w:p>
    <w:p>
      <w:r>
        <w:t>VD Tribunal cantonal, 2013-06-11, FR</w:t>
      </w:r>
    </w:p>
    <w:p>
      <w:r>
        <w:rPr>
          <w:b/>
        </w:rPr>
        <w:t xml:space="preserve">Quelle: </w:t>
      </w:r>
      <w:r>
        <w:t>https://mcp.opencaselaw.ch/entscheid/vd_gerichte_XC11.048277</w:t>
      </w:r>
    </w:p>
    <w:p>
      <w:r>
        <w:t>FR: VD_GERICHTE XC11.048277 du 11 juin 2013</w:t>
      </w:r>
    </w:p>
    <w:p>
      <w:r>
        <w:t>IT: VD_GERICHTE XC11.048277 del 11 giugno 2013</w:t>
      </w:r>
    </w:p>
    <w:p>
      <w:pPr>
        <w:pStyle w:val="Heading2"/>
      </w:pPr>
      <w:r>
        <w:t>Erwägungen</w:t>
      </w:r>
    </w:p>
    <w:p>
      <w:r>
        <w:rPr>
          <w:b/>
        </w:rPr>
        <w:t>E. 3</w:t>
      </w:r>
    </w:p>
    <w:p>
      <w:r>
        <w:t>L’appelante M.________ conteste en premier lieu la validité du congé qui lui a été signifié le 18 juillet 2011 par Régie H.________SA. A cet égard, elle s’en prend au fait que l’autorisation d’aliénation délivrée par le SELT le 28 avril 2011 à l’ancienne propriétaire P.________SA mentionnait que la locataire en place, à savoir l’appelante, conserverait son logement, le bail étant repris aux conditions du droit du bail par les intimés acheteurs A.X.________ et B.X.________. Or la résiliation dudit bail est intervenue quelques jours seulement après le transfert de propriété aux acheteurs. Ensuite, l’appelante fait valoir que les époux X.________ ne se sont prévalus de leur besoin urgent d’occuper les locaux qu’au stade de l’audience de conciliation. Seul un besoin propre – et non urgent – ayant été invoqué dans la lettre du 18 juillet 2011, ces derniers sont liés par ce motif. Au demeurant, le caractère urgent de cet usage est douteux, compte tenu de la procédure d’autorisation d’aliénation d’un tel appartement occupé par une locataire. L’appelante s’en prend également au conflit avec une voisine dont se sont prévalus les intimés qu’elle qualifie de « broutille ». Enfin, elle réfute l’allégation des intimés selon laquelle B.X.________ souhaite se rapprocher de son lieu de travail, qui se trouverait à Lausanne, alors que la société qu’elle administre est sise à Morges. a) Le congé donné en cours de procédure ou durant la période de protection est toujours réputé abusif même si le bailleur est de bonne foi. Cette présomption peut toutefois être renversée par le bailleur, dans les six cas donnés par l’art. 271a al. 3 CO, en particulier par le premier de ceux qui y sont énumérés de manière exhaustive, à savoir le cas où le congé est donné en raison du besoin urgent du bailleur ou de ses proches parents ou alliés d’utiliser eux-mêmes les locaux. Lorsque l’immeuble est propriété de plusieurs personnes, le besoin d’une seule d’entre elles suffit. Le besoin urgent ne présuppose pas une situation de contrainte, voire un état de nécessité : il suffit que, pour des motifs économiques ou pour</w:t>
      </w:r>
    </w:p>
    <w:p>
      <w:r>
        <w:t>- 13 - d’autres raisons, on ne puisse exiger du bailleur qu’il renonce à l’objet loué ou doive supporter une longue attente avant de le récupérer. Le besoin dont il s’agit doit être sérieux, concret et actuel. La notion d’urgence doit être examinée non seulement dans le temps, mais encore en fonction de son degré. Il faut qu'existent des motifs qui revêtent objectivement une certaine importance, de simples motifs de confort n’étant pas suffisants. Tant l’intérêt du propriétaire qui invoque un besoin urgent que l’intérêt du locataire à demeurer dans l’appartement doivent être mis en balance (ATF 118 II 50 c. 3 ; ATF 132 III 737 c. 3.4.3). Lorsque l’immeuble est vendu, c’est le besoin de l’acquéreur, une fois inscrit au Registre foncier, qui doit être considéré ; le propriétaire qui résilie le bail en vue d’une vente à venir ne peut pas se prévaloir du besoin du futur acquéreur (Lachat, Le bail à loyer, chap. 30, n. 3.9, p. 779). Déterminer le degré d’urgence requis relève, dans une large mesure, de l’appréciation du juge. Il convient au bailleur d’établir l’existence d’un besoin urgent (Lachat, Le bail à loyer, chap. 29, n. 5.5.4, pp. 747-748 et chap. 30, n. 3.9, pp. 777-779; Conod, in Bohnet/Montini, Droit du bail, n. 60 ss. ad art. 271a CO, pp. 1049-1051 et les réf. cit.). b) S’il est vrai que l’autorisation d’aliéner l’appartement litigieux accordée par le SELT à l’ancienne propriétaire comporte une mention relative au bail de la défenderesse, il convient cependant de ne pas en escamoter le texte, lequel précise qu’ « à court terme en tout cas, la locataire en place, Mme M.________, conservera son logement, le bail en cours étant repris aux conditions du droit du bail par les acheteurs, M. et Mme A.X.________ et B.X.________, à Morges ». Ainsi, les acheteurs de l’appartement, soit les bailleurs actuels, tout en reprenant à leur compte ledit bail à loyer, n’ont nullement renoncé à leur droit de le résilier conformément à la loi ou au contrat. Ils ne se sont en particulier pas liés par un acte juridique avec la locataire, les privant de reprendre leur liberté à son égard. De même, ils ne se sont pas engagés expressément envers elle à maintenir son bail, créant chez elle une confiance légitime. On ne saurait donc retenir qu’ils auraient agi contrairement aux règles de la bonne foi. Ce grief s’avère dès lors infondé.</w:t>
      </w:r>
    </w:p>
    <w:p>
      <w:r>
        <w:t>- 14 - c) Concernant ensuite la motivation du congé, il convient de rappeler que la partie qui résilie le bail fournira de préférence spontanément et d’emblée les motifs du congé. La motivation peut cependant intervenir ultérieurement, ce qui est le cas, notamment, lorsque le destinataire du congé se prévaut de l’art. 271 al. 2 CO. La pratique admet une motivation tardive communiquée à l’autorité de conciliation, voire au juge. La partie qui tarde de la sorte doit justifier son retard. A défaut, de tels atermoiements constituent un indice de congé contraire à la bonne foi (Lachat, op. cit., chap. 29, n. 3.3, p. 731 et les réf. citées). En l’occurrence, la lettre de résiliation adressée le 18 juillet 2011 par Régie H.________SA à l’appelante motive celle-ci par le désir des nouveaux propriétaires de « récupérer leur bien pour leur propre usage ». Se référant à la date d’échéance du bail coïncidant avec la fin de l’année, l’auteur de la lettre poursuit en écrivant que « vos nouveaux bailleurs sont absolument disposés à vous libérer plus vite de toutes obligations, et pour n’importe quelle date à votre totale convenance ». La lettre se termine par l’offre de la Régie d’aider la locataire dans ses « recherches d’un nouvel appartement ». Ainsi, même si le mot « urgent » n’apparaît pas explicitement dans ce courrier, il en ressort de manière suffisamment claire que les bailleurs aspiraient à occuper leur nouvel appartement le plus rapidement possible. Certes, dans sa décision du 14 octobre 2011, la Commission de conciliation considère que les bailleurs ont résilié le bail pour sa prochaine échéance « en invoquant le besoin propre, sans faire valoir l’urgence » et que « ce n’est qu’en audience qu’ils ont invoqué l’urgence (litige dans l’immeuble avec une autre locataire) », concluant que « l’urgence n’est dès lors pas démontrée ». Toutefois, cette appréciation n’est pas partagée par le Tribunal des baux, lequel a au contraire qualifié le besoin des bailleurs de prendre possession de leur appartement nouvellement acquis d’ « urgent », dans la mesure où « on ne saurait exiger d’eux qu’ils renoncent à s’installer dans cet appartement ». Cette dernière appréciation doit être confirmée. Non seulement, l’urgence du besoin des bailleurs apparaissait déjà implicitement dans la lettre de résiliation de la Régie, mais en outre, ces derniers ont explicité et documenté le besoin qu’ils invoquaient dès que la locataire a contesté la résiliation du bail dont elle a requis l’annulation. On</w:t>
      </w:r>
    </w:p>
    <w:p>
      <w:r>
        <w:t>- 15 - ne saurait parler en l’espèce d’atermoiements qui constitueraient un indice de congé contraire à la bonne foi. Ce grief doit dès lors lui aussi être rejeté. d) S’agissant du conflit de voisinage que connaissent les intimés dans l’immeuble abritant leur domicile actuel, on ne saurait le qualifier de « broutille » à l’instar de l’appelante. En effet, ce n’est pas parce que la plainte pénale déposée par les intimés à l’encontre de la voisine dont le comportement les importune a débouché sur un classement que ce conflit est inexistant. Au contraire, il convient de se référer au certificat médical établi le 24 février 2012 par le Dr. [...] qui montre que cette situation est source chez B.X.________ de troubles tels qu’état anxio-dépressif, troubles du sommeil, irritabilité, qui ont semblé « très préoccupants » à ce praticien au point de l’amener à prescrire à sa patiente de suivre un traitement psychiatrique et de préconiser une solution rapide « pour éviter une dégradation de la situation médicale ». Dès lors, le grief de l’appelante s’avère infondé à cet égard. e) Pour ce qui est enfin du souhait des intimés de se rapprocher du centre de leurs activités quotidiennes, il importe en définitive peu que la société dont la demanderesse était l’administratrice au moment du congé ait son siège à Morges. En effet, le jugement attaqué fait état d’une activité de l’intéressée à temps partiel à Lausanne ainsi que de cours de français qu’elle suit dans cette ville. En outre, et c’est sans doute la raison la plus importante invoquée par les intimés, B.X.________ suit un traitement de fécondation in vitro au CHUV qui, à ce jour, n’est pas terminé (cf. P. 105-106). De tels motifs fondent un intérêt légitime de l’intéressée à vouloir occuper l’appartement nouvellement acquis à Lausanne. A l’instar des précédents, ce grief doit aussi être rejeté.</w:t>
      </w:r>
    </w:p>
    <w:p>
      <w:r>
        <w:rPr>
          <w:b/>
        </w:rPr>
        <w:t>E. 4</w:t>
      </w:r>
    </w:p>
    <w:p>
      <w:r>
        <w:t>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w:t>
      </w:r>
    </w:p>
    <w:p>
      <w:r>
        <w:t>- 18 - (ATF 136 III 190 c. 6 ; ATF 135 III 121 c. 2 ; ATF 133 Il 201 c. 5.4 ; ATF 125 111 226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Lai op. cit., p. 782 et les réf. cit.).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Bâle 2008, n. 15 ad art. 272 CO; CREC I du 7 septembre 2011/236 ; CREC I du 26 août 2009/417), respectivement lorsque le locataire peut disposer d’une solution de remplacement en déployant les efforts nécessaires (Conod, in Droit du bail à loyer : Commentaire pratique, Bâle 2010, n. 9 ad art. 272b CO). Une prolongation unique est également envisageable lorsque le locataire n’a pas fait de recherches intensives de locaux de remplacement jusqu’au moment de la prolongation (TF 4C.400/2001 du 4 mars 2002 c. 4 ; SVIT, Das Schweizerische Mietrecht – Kommentar, Zurich 2008, n. 6 ad art. 272b CO).</w:t>
      </w:r>
    </w:p>
    <w:p>
      <w:r>
        <w:t>- 19 - d) En l’espèce, les premiers juges ont retenu que la locataire, qui occupait l’appartement loué depuis plus de 15 ans au moment de la réception du congé litigieux, était très gravement atteinte dans sa santé. Avéré, cet élément n’a donc pas à être réexaminé. En outre, ils ont retenu que la défenderesse était sans emploi, qu’elle était dans l’attente d’une décision de rente AI, qu’elle n’avait aucune fortune, que son activité de sculptrice n’était qu’un passe-temps dont elle ne tirait aucun revenu et qu’elle subvenait à ses besoins grâce à une pension alimentaire de 550 fr./mois complétée par le revenu d’insertion et l’aide de son fils, qui vivait avec elle et avait l’intention de continuer à habiter avec sa mère jusqu’à la fin de ses études, en juin 2015. Ajoutant que la situation du marché du logement était notoirement tendue en ville de Lausanne, ils ont conclu que le congé litigieux présentait pour la défenderesse « des conséquences éminemment pénibles au sens de l’art. 272 al. 1 CO ». Les premiers juges ont contrebalancé l’intérêt de la locataire à pouvoir rester dans l’appartement loué avec celui des bailleurs à pouvoir l’occuper. A cet égard, ils ont retenu l’urgence du besoin de ces derniers, notamment en raison des lieux fréquentés par la demanderesse, non détentrice d’un permis de conduire, en ville de Lausanne, plus particulièrement de ses fréquents déplacements au CHUV pour y suivre un traitement de fécondation in vitro. Ils ont également tenu compte du fait que les demandeurs, selon leurs déclarations, devaient accueillir la mère de la demanderesse, elle-même atteinte d’un cancer récemment diagnostiqué, pour lui permettre de bénéficier d’un suivi oncologique au CHUV. Ils ont cependant souligné que les demandeurs, au contraire de la défenderesse, disposaient de moyens financiers importants, qui leur permettaient de trouver plus facilement que cette dernière une solution provisoire de relogement pour leur éviter de subir les inconvénients qu’ils subissaient actuellement. Forts de cette pesée d’intérêts, les premiers juges ont accordé à la locataire une unique prolongation de son bail d’une durée moindre que celle qu’elle sollicitait, soit de 31 mois. Cette dernière sollicite que la prolongation soit portée à 48 mois. e) Il convient de constater que les premiers juges ont tenu compte de tous les éléments d’appréciation pertinents et qu’ils n’ont pas</w:t>
      </w:r>
    </w:p>
    <w:p>
      <w:r>
        <w:t>- 20 - abusé de leur pouvoir d’appréciation. Reste à savoir si les nouveaux éléments portés à la connaissance de la cour de céans – plus particulièrement ceux contenus dans le rapport du CSR – sont de nature à modifier cette appréciation dans un sens ou dans l’autre. S’il est d’abord vrai que l’appelante M.________ a été mise au bénéfice d’une demi- rente Al dès le 1er mai 2008, puis d’une rente entière dès le 1er octobre 2012, cet élément a déjà été dûment pris en compte dans le jugement attaqué, même si la décision d’octroi n’était qu’imminente. Ensuite, il ressort en substance du rapport précité que l’appelante, bénéficiaire du RI, a dissimulé un certain nombre d’éléments relatifs à ses revenus et à sa fortune. En particulier, il est résulté des investigations menées qu’entre janvier 2006 et octobre 2012, cette dernière n’aurait pas eu droit au RI en raison des montants de fortune découverts sur des comptes inconnus du CSR et de crédits réguliers provenant « très vraisemblablement » de son activité artistique et que, partant, la quasi-totalité des aides octroyées à la bénéficiaire étaient indues. Les prêts invoqués par l’intéressée (de la part d’un certain [...] de même que de la part de son ami [...]) sont très fortement mis en doute, ce qui ôte à la pièce n° 139 nouvellement produite – à supposer qu’on la considère recevable – de toute manière sa force probante. Les explications données au sujet de sa situation financière par l’appelante dans sa réponse à l’appel des bailleurs ne convainquent pas. Les pièces bancaires et les factures produites (P. 137 et 138) ne font que confirmer le résultat des investigations menées par le CSR. On prend acte des frais encourus dans ce cadre par l’intéressée et de ce que l’exercice de son activité artistique aide cette dernière à surmonter le caractère irrémédiable de sa maladie. Il n’en reste pas moins que des éléments pertinents ont été cachés par l’intéressée non seulement au CSR mais également au Tribunal des baux. Les éléments nouveaux qui précèdent ne permettent toutefois pas de modifier l’appréciation des premiers juges quant à la durée de la prolongation accordée à la locataire ; ces derniers ont en effet attaché une importance prépondérante à l’état de santé de la locataire au moment de fixer la durée de la prolongation. Tout au plus, ces nouveaux éléments auraient pu influer sur la question de savoir si la locataire pouvait prétendre à une prolongation d’une durée supérieure. Tel n’est cependant pas le cas, dès lors que la</w:t>
      </w:r>
    </w:p>
    <w:p>
      <w:r>
        <w:t>- 21 - locataire n’a pas droit à la prolongation maximale de 4 ans, celle-ci n’ayant fait état d’aucune recherche d’un nouveau logement depuis la notification de la résiliation de son bail. Du côté des bailleurs, aucun élément foncièrement nouveau n’est apparu qui soit de nature à modifier l’appréciation des premiers juges quant à leur besoin urgent de récupérer l’appartement litigieux. En conclusion, il convient dès lors de confirmer la durée de prolongation telle qu’accordée par les premiers juges et de rejeter les conclusions respectives des appelants et de l’appelante à cet égard.</w:t>
      </w:r>
    </w:p>
    <w:p>
      <w:r>
        <w:rPr>
          <w:b/>
        </w:rPr>
        <w:t>E. 5</w:t>
      </w:r>
    </w:p>
    <w:p>
      <w:r>
        <w:t>En définitive, les deux appels doivent être rejetés et le jugement attaqué confirmé. Les bailleurs l’emportent sur les conclusions tant principale que subsidiaire de la locataire, tandis qu’ils perdent sur leur propre conclusion en réduction de la durée de la prolongation du bail. Quant à la locataire, elle succombe sur ses conclusions principale et subsidiaire, mais gagne sur la conclusion des bailleurs. Les appelants A.X.________ et B.X.________ gagnent plus qu’ils ne perdent et ont donc droit à des dépens réduits de deuxième instance, qu’il convient de fixer à un tiers. Il s’ensuit que les frais judiciaires de deuxième instance, arrêtés à 2'447 fr. pour les deux appels (art. 62 al. 1 TFJC [Tarif des frais judiciaires civils du 28 septembre 2010, RSV 270.11.5]), doivent être répartis de la manière suivante : M.________ supporte ses propres frais d’appel, par 1'647 fr., tandis qu’elle doit restituer à A.X.________ et B.X.________ les deux tiers de leur avance de frais, soit 533 fr. En outre, la valeur litigieuse totale devant la cour de céans s’élevant à 84'755 fr. (64'722 + 20'033), M.________ doit verser aux époux A.X.________ et B.X.________ la somme de 3'000 fr., représentant des dépens réduits d’un tiers (cf. art. 7 TDC [tarif des dépens en matière civile du 23 novembre 2010 ; RSV 270.11.6]) à titre de participation aux honoraires de leur conseil.</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