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XC11.014808 vom 20. November 2012</w:t>
      </w:r>
    </w:p>
    <w:p>
      <w:r>
        <w:t>VD Tribunal cantonal, 2012-11-20, FR</w:t>
      </w:r>
    </w:p>
    <w:p>
      <w:r>
        <w:rPr>
          <w:b/>
        </w:rPr>
        <w:t xml:space="preserve">Quelle: </w:t>
      </w:r>
      <w:r>
        <w:t>https://mcp.opencaselaw.ch/entscheid/vd_gerichte_XC11.014808</w:t>
      </w:r>
    </w:p>
    <w:p>
      <w:r>
        <w:t>FR: VD_GERICHTE XC11.014808 du 20 novembre 2012</w:t>
      </w:r>
    </w:p>
    <w:p>
      <w:r>
        <w:t>IT: VD_GERICHTE XC11.014808 del 20 novembre 2012</w:t>
      </w:r>
    </w:p>
    <w:p>
      <w:pPr>
        <w:pStyle w:val="Heading2"/>
      </w:pPr>
      <w:r>
        <w:t>Erwägungen</w:t>
      </w:r>
    </w:p>
    <w:p>
      <w:r>
        <w:rPr>
          <w:b/>
        </w:rPr>
        <w:t>E. 1.1</w:t>
      </w:r>
    </w:p>
    <w:p>
      <w:r>
        <w:t>Le jugement attaqué ayant été rendu et communiqué après le 1er janvier 2011, les voies de droit sont régies par le Code de procédure civile du 19 décembre 2008 (ci-après : CPC, RS 272), conformément à l'art. 405 al. 1 CPC. En revanche, comme la procédure de première instance était en cours lors de l'entrée en vigueur du CPC au 1er janvier 2011, elle restait régie par l'ancien droit, à savoir le Code de procédure civile du canton de Vaud du 14 décembre 1966 (ci-après : CPC-VD), conformément à l'art. 404 al. 1 CPC.</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pourrait être donné ou l'a été effectivement. En principe, la durée déterminante pour le calcul de la valeur litigieuse ne saurait être inférieure à la période de trois ans pendant laquelle l'art. 271 al. 1 let. e CO consacre l'annulabilité d'une résiliation (JT 2011 III 83; TF 4A_634/2009 du 3 mars 2010 c. 1.1; SJ 2001 I 17 c. 1a; ATF 119 II 147 c. 1). En l'espèce, le loyer mensuel des locaux s'élève à 5'103 fr. 75. La valeur litigieuse ne saurait être inférieure à 183'735 fr. (5'103 fr. 75 x</w:t>
      </w:r>
    </w:p>
    <w:p>
      <w:r>
        <w:t>- 12 - 36), de sorte que la limite de 10'000 fr. fixée par l'art. 308 al. 2 CPC est sans conteste atteinte. La voie de l'appel est dès lors ouverte.</w:t>
      </w:r>
    </w:p>
    <w:p>
      <w:r>
        <w:rPr>
          <w:b/>
        </w:rPr>
        <w:t>E. 1.3</w:t>
      </w:r>
    </w:p>
    <w:p>
      <w:r>
        <w:t>L'appel s'exerce en principe dans un délai de trente jours (art. 311 CPC). Le délai d'appel est toutefois de dix jours dans toutes les décisions rendues en procédure sommaire (art. 314 al. 1 CPC). En l'espèce, la décision a été rendue dans le cadre d'un litige soumis aux règles du CPC-VD et de la loi sur le Tribunal des baux du 13 décembre 1981 (aLTB), abrogée par l'entrée en vigueur, le 1er janvier 2011, de la loi sur la juridiction en matière de bail du 9 novembre 2010 (RSV 173.655). Le délai d'appel est dès lors de 30 jours. L'appelante a réceptionné le jugement querellé le 22 août 2012, de sorte que l'appel a été formé en temps utile. Interjeté par une partie qui y a intérêt (art. 59 al. 2 let. a CPC) et dûment motivé (art. 311 al. 1 CPC), l'appel est dès formellement recevable.</w:t>
      </w:r>
    </w:p>
    <w:p>
      <w:r>
        <w:rPr>
          <w:b/>
        </w:rPr>
        <w:t>E. 2.1</w:t>
      </w:r>
    </w:p>
    <w:p>
      <w:r>
        <w:t>L'appel est une voie de droit offrant à l'autorité de seconde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2ème éd.,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Bâle 2010, n. 1 ad art. 310 CPC).</w:t>
      </w:r>
    </w:p>
    <w:p>
      <w:r>
        <w:t>- 13 -</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CPC). En l'espèce, l'appelante produit un bordereau de pièces à l’appui de son appel. Les pièces 1 à 30 ont déjà été produites en première instance; elles ne sont dès lors pas nouvelles de sorte qu'il n'y a pas lieu de statuer sur leur recevabilité. L’appelante requiert aussi la mise en œuvre d’une expertise afin d’établir qu’elle a effectué des investissements en 2009 et 2010. Pour elle, seul ce mode de preuve permettra d’établir l’ampleur de ses investissements, dès lors que le Tribunal des baux a estimé qu’ils n’avaient pas été suffisamment prouvés par elle. Enfin, l’appelante propose l’audition des agents immobiliers qu’elle a contactés dans le cadre de sa recherche de nouveaux locaux. A cet égard, elle précise avoir été confrontée à un problème de preuve concernant la pénurie des locaux commerciaux sur l’arc lémanique. Pour l’expertise comme pour l’audition de témoins, ces offres de preuve n’ont pas été formulées en première instance par l’appelante. Ainsi, conformément aux principes exposés ci-dessus, l’appelante doit subir les conséquences de cette négligence et les offres de preuve formulées en deuxième instance doivent être déclarées irrecevables. En ce qui concerne les faits allégués qui sont postérieurs à l’audience de jugement du 30 novembre 2011, à savoir le fait que l’appelante ait continué à rechercher un nouvel</w:t>
      </w:r>
    </w:p>
    <w:p>
      <w:r>
        <w:t>- 14 - emplacement sans désemparer, les nouveaux moyens de preuve sont admissibles. Les pièces 31 à 35 sont ainsi recevables, de même que la pièce 8 en ce qui concerne les comptes 2011 de l'appelante. L’affaire étant en état d’être jugée sur la base du dossier constitué, il ne sera cependant pas procédé à l’audition des parties ou de témoins pour instruire cet allégué supplémentaire.</w:t>
      </w:r>
    </w:p>
    <w:p>
      <w:r>
        <w:rPr>
          <w:b/>
        </w:rPr>
        <w:t>E. 3</w:t>
      </w:r>
    </w:p>
    <w:p>
      <w:r>
        <w:t>L'appelante renonce à contester la validité du congé donné par l'intimée. Elle s'en prend en revanche à l'octroi d'une seule et unique prolongation par le Tribunal des baux, ainsi qu'à la durée de cette prolongation. Elle soutient que le tribunal n'a pas pris suffisamment en considération les intérêts de la locataire, ainsi que sa situation personnelle et financière, et invoque la survenance de faits nouveaux qui démontrerait qu'elle se trouverait dans une situation très difficile si le congé devait être confirmé pour le 31 décembre 2012. Elle fait valoir que la bailleresse, ne disposant pas du permis de construire, a perdu tout intérêt audit congé et que celle-ci ne peut dès lors se prévaloir que d'arguments de confort.</w:t>
      </w:r>
    </w:p>
    <w:p>
      <w:r>
        <w:rPr>
          <w:b/>
        </w:rPr>
        <w:t>E. 3.1</w:t>
      </w:r>
    </w:p>
    <w:p>
      <w:r>
        <w:t>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La loi permet deux prolongations successives, mais laisse à l'autorité la faculté de n'en accorder qu'une (Tercier/Favre/Bugnon, Les contrats spéciaux, 4e éd., Zurich 2009, n. 2737, p. 403).</w:t>
      </w:r>
    </w:p>
    <w:p>
      <w:r>
        <w:rPr>
          <w:b/>
        </w:rPr>
        <w:t>E. 3.1.1</w:t>
      </w:r>
    </w:p>
    <w:p>
      <w:r>
        <w:t>Saisi d'une demande de prolongation de bail, le juge doit d'abord, vu le texte de l'art. 272 al. 1 CO, examiner s'il existe des conséquences pénibles, les éventuelles recherches de locaux de</w:t>
      </w:r>
    </w:p>
    <w:p>
      <w:r>
        <w:t>- 15 -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Commentaire-SVIT, n. 15 ad art. 272 CO, p. 693; Weber, Basler Kommentar, 5e éd., 2011, n. 3 ad art. 272 CO, p. 1621; contra: Lachat, op. cit., note infrapaginale n. 40, p. 771 et les réf.). La notion de conséquences pénibles doit être appréciée au cas par cas, en tenant compte de toutes les circonstances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Tercier/Favre/Bugnon, op. cit., n. 2764, p. 406).</w:t>
      </w:r>
    </w:p>
    <w:p>
      <w:r>
        <w:rPr>
          <w:b/>
        </w:rPr>
        <w:t>E. 3.1.2</w:t>
      </w:r>
    </w:p>
    <w:p>
      <w:r>
        <w:t>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w:t>
      </w:r>
    </w:p>
    <w:p>
      <w:r>
        <w:rPr>
          <w:b/>
        </w:rPr>
        <w:t>E. 3.2</w:t>
      </w:r>
    </w:p>
    <w:p>
      <w:r>
        <w:t>L'appelante allègue être installée dans les locaux litigieux depuis plus de quinze ans. Elle soutient que le bail doit être dès lors</w:t>
      </w:r>
    </w:p>
    <w:p>
      <w:r>
        <w:t>- 18 - considéré comme de longue durée, ce qui justifierait l'octroi d'une prolongation pleine et entière. Elle fait en outre valoir son enracinement particulier à [...], où elle s'est constitué une clientèle fidèle à cet endroit, et affirme que ses concurrents ont tous choisi ce site comme lieu adapté à leur type d'affaires particulier. L'appelante soutient par ailleurs qu'elle pouvait croire de bonne foi que son bail continuerait à être renouvelé tacitement sur un long terme, malgré sa clause initiale selon laquelle le bail se renouvellerait tacitement d'année en année, en raison du fait qu'aucun autre projet de vente, hormis celui ayant avorté peu après la conclusion du bail en 1997, n'avait été annoncé. A cet égard, elle relève encore qu'elle a effectué, après avoir fait d'importants investissements à son arrivée, de nouveaux travaux de modernisation de l'agence en 2009 et 2010. L'appelante revient également sur sa situation personnelle et financière. Elle soutient que l'agence de [...] représente plus d'un cinquième du chiffre d'affaires de l'entreprise et que si celle-ci était amenée à fermer, sa clientèle s'adresserait à des concurrents plutôt que de se déplacer sur les sites de Genève ou Fribourg, compte tenu des coûts inhérents au transport de machines lourdes. La fermeture de l'agence causerait un préjudice non négligeable à l'appelante et ferait perdre une part substantielle de sa clientèle à la société. En outre, elle fait valoir que les premiers juges n'ont pas pris suffisamment en considération ses besoins spécifiques en termes de surface et d'accès dans le cadre de l'appréciation de ses démarches et efforts pour trouver une solution de remplacement. A cet égard, elle affirme que si elle n'a pas pu apporter les preuves de ses efforts en matière de recherche de locaux, c'est que les propriétaires contactés n'avaient pas pris le temps de confirmer leur refus par écrit. Dès lors que l'on se trouve au stade de la première prolongation, les premiers juges devaient selon elle faire preuve d'indulgence. Enfin, l'appelante revient sur la situation personnelle de l'intimée et ajoute que celle-ci n'aurait pas un besoin concret des locaux litigieux dès lors que le promettant acquéreur n'aurait pas obtenu son permis de construire.</w:t>
      </w:r>
    </w:p>
    <w:p>
      <w:r>
        <w:t>- 19 -</w:t>
      </w:r>
    </w:p>
    <w:p>
      <w:r>
        <w:rPr>
          <w:b/>
        </w:rPr>
        <w:t>E. 3.3</w:t>
      </w:r>
    </w:p>
    <w:p>
      <w:r>
        <w:t>Il est exact que l’appelante occupait les locaux litigieux depuis près de treize ans lorsque le bail a été résilié, ce qui constitue un indice d’enracinement particulier dans la Commune de [...]. Par contre, s’agissant des travaux effectués, l’appelante a indiqué dans sa contestation de résiliation de bail avoir procédé à des investissements lors de l’entrée en jouissance des locaux en 1997 pour un montant de 450'000 fr. et des rénovations entre 2008 et 2010 pour un montant de 75'000 fr. Le décompte interne qu'elle a produit n’a que peu de force probante, comme admis par les premiers juges. Au demeurant, les premiers travaux doivent nécessairement avoir été amortis, conformément à l’art. 7 du contrat de bail. Quant aux rénovations qui sont plus récentes, elles pourraient faire l’objet d’une indemnisation pour plus-value résiduelle qui rend vain tout argument tiré du non-amortissement de ces travaux. S’il est exact que l’appelante, en raison de son activité liée au transport de machines lourdes, a des besoins spécifiques en termes de surface de stockage et d’accès, elle n’a pas établi que cela constituait un obstacle important l’empêchant de trouver des locaux de remplacement. A cet égard, elle a produit, en première instance, quelques courriels adressés à différents propriétaires et gérances sans que l’on sache quelle suite leur a été donnée. Devant l’instance d’appel, elle explique avoir vainement continué ses recherches et s’être heurtée à des difficultés voire à l’impossibilité de trouver un terrain dans la zone de Crissier ou proche de la ceinture autoroutière lausannoise, comprenant des accès facilités pour les camions et offrant de grandes surfaces. Elle produit une série de courriels par lesquels elle démontre avoir été active dans ses recherches de locaux. Or, il ressort de ces pièces que l’appelante a recherché des locaux dans la région de Bussigny, Crissier et Ecublens. Si l’on comprend que la situation actuelle, au bord de l’autoroute de contournement de Lausanne, représente un avantage certain pour l’appelante, celle-ci ne peut limiter ses recherches à une région aussi restreinte dès lors qu’elle ne saurait prétendre, par le biais d’une prolongation de bail, à faire perdurer une situation qui lui est extrêmement favorable, notamment en raison de la proximité de la concurrence. Les agences les plus proches se</w:t>
      </w:r>
    </w:p>
    <w:p>
      <w:r>
        <w:t>- 20 - situent à Genève et à Fribourg. Nonobstant la volonté de l’appelante de maintenir une offre sur l’ensemble du territoire fédéral, rien ne la contraint à limiter ses recherches à l’ouest lausannois. Par ailleurs, il ne ressort pas des pièces nouvelles que les projets concernant les locaux de Romanel et du Mont-sur-Lausanne aient eu finalement une issue négative. S’agissant de ce dernier endroit, il y au contraire lieu de relever que les discussions précontractuelles sont très avancées. On relèvera aussi que l’appelante aura bénéficié de plus de 27 mois depuis la réception du congé pour entreprendre les démarches nécessaires. Quant à la situation économique de l’appelante, compte tenu des exercices déficitaires de l’agence de [...] pour les années 2009 et 2010, on ne saurait considérer que sa suppression créerait un préjudice non négligeable pour l’entreprise dans son ensemble. Enfin, l’argument selon lequel l’intimée n’aurait finalement pas besoin des locaux litigieux n’est étayé par aucune pièce. Pour tous ces motifs, la décision des premiers juges selon laquelle une seule et unique prolongation de bail au 31 décembre 2012 est accordée s'avère adéquate et peut être confirmée.</w:t>
      </w:r>
    </w:p>
    <w:p>
      <w:r>
        <w:rPr>
          <w:b/>
        </w:rPr>
        <w:t>E. 4</w:t>
      </w:r>
    </w:p>
    <w:p>
      <w:r>
        <w:t>En conclusion, l'appel doit être rejeté dans la procédure de l'art. 312 al. 1 CPC et le jugement confirmé. Les frais judiciaires de deuxième instance, arrêtés à 3'086 fr. (art, 62 al. 1 TFJC [tarif des frais judiciaires civils du 28 septembre 2010; RSV 270.11.5]), sont mis à la charge de l'appelante qui succombe (art. 106 al. 1 CPC). L'intimée n'ayant pas été invitée à se déterminer, il n'est pas alloué de dépens de deuxième instance.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