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XC11.003525 vom 13. Oktober 2014</w:t>
      </w:r>
    </w:p>
    <w:p>
      <w:r>
        <w:t>VD Tribunal cantonal, 2014-10-13, FR</w:t>
      </w:r>
    </w:p>
    <w:p>
      <w:r>
        <w:rPr>
          <w:b/>
        </w:rPr>
        <w:t xml:space="preserve">Quelle: </w:t>
      </w:r>
      <w:r>
        <w:t>https://mcp.opencaselaw.ch/entscheid/vd_gerichte_XC11.003525</w:t>
      </w:r>
    </w:p>
    <w:p>
      <w:r>
        <w:t>FR: VD_GERICHTE XC11.003525 du 13 octobre 2014</w:t>
      </w:r>
    </w:p>
    <w:p>
      <w:r>
        <w:t>IT: VD_GERICHTE XC11.003525 del 13 ottobre 2014</w:t>
      </w:r>
    </w:p>
    <w:p>
      <w:pPr>
        <w:pStyle w:val="Heading2"/>
      </w:pPr>
      <w:r>
        <w:t>Erwägungen</w:t>
      </w:r>
    </w:p>
    <w:p>
      <w:r>
        <w:rPr>
          <w:b/>
        </w:rPr>
        <w:t>E. 1</w:t>
      </w:r>
    </w:p>
    <w:p>
      <w:r>
        <w:t>Le tribunal auquel une affaire est renvoyée, selon l’art. 107 al. 2 LTF (loi sur le Tribunal fédéral du 17 juin 2005, RS 173.110),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w:t>
      </w:r>
    </w:p>
    <w:p>
      <w:r>
        <w:t>- 4 - En l’occurrence, le renvoi porte uniquement sur la question des frais et dépens de la procédure cantonale.</w:t>
      </w:r>
    </w:p>
    <w:p>
      <w:r>
        <w:rPr>
          <w:b/>
        </w:rPr>
        <w:t>E. 2</w:t>
      </w:r>
    </w:p>
    <w:p>
      <w:r>
        <w:t>Selon l’art. 95 al. 1 CPC, les frais comprennent les frais judiciaires et les dépens, ceux-ci comprenant notamment les débours nécessaires et le défraiement d’un représentant professionnel,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Le Tribunal fédéral a retenu que les recourants obtenaient entièrement gain de cause et a par conséquent mis l’entier des frais de justice de sa procédure à la charge des intimés. Il y a lieu de se fonder sur cette même répartition pour statuer sur le sort des frais judiciaires et dépens de la procédure cantonale. Le sort des frais judiciaires et dépens de première instance peut être confirmé, dès lors que l’issue au fond de l’arrêt du Tribunal fédéral correspond au résultat de la décision du Tribunal des baux. Ainsi, il ne sera pas perçu de frais judiciaires ni alloué de dépens pour la procédure de première instance (art. 12 al. 1 LJB [loi sur la juridiction du bail du 9 novembre 2010, RSV 173.655]). Les frais judiciaires de deuxième instance, fixés à 2'098 fr. (art. 62 al. 1 TFJC [tarif des frais judiciaires civils du 28 septembre 2010,</w:t>
      </w:r>
    </w:p>
    <w:p>
      <w:r>
        <w:t>- 5 - RSV 270.11.5]), doivent être mis à la charge des appelants, solidairement entre eux, dès lors qu’ils succombent, étant précisé que ces frais sont compensés avec l’avance de frais du même montant qu’ils avaient effectuée (art. 111 al. 1 CPC). Obtenant entièrement gain de cause et ayant procédé avec l’assistance d’un mandataire, les intimés ont droit à des dépens fixés à 3'000 francs (art. 95 al. 3 let. b CPC ; art. 16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