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XC10.012466 vom 5. Oktober 2010</w:t>
      </w:r>
    </w:p>
    <w:p>
      <w:r>
        <w:t>VD Tribunal cantonal, 2010-10-05, FR</w:t>
      </w:r>
    </w:p>
    <w:p>
      <w:r>
        <w:rPr>
          <w:b/>
        </w:rPr>
        <w:t xml:space="preserve">Quelle: </w:t>
      </w:r>
      <w:r>
        <w:t>https://mcp.opencaselaw.ch/entscheid/vd_gerichte_XC10.012466</w:t>
      </w:r>
    </w:p>
    <w:p>
      <w:r>
        <w:t>FR: VD_GERICHTE XC10.012466 du 5 octobre 2010</w:t>
      </w:r>
    </w:p>
    <w:p>
      <w:r>
        <w:t>IT: VD_GERICHTE XC10.012466 del 5 ottobre 2010</w:t>
      </w:r>
    </w:p>
    <w:p>
      <w:pPr>
        <w:pStyle w:val="Heading2"/>
      </w:pPr>
      <w:r>
        <w:t>Erwägungen</w:t>
      </w:r>
    </w:p>
    <w:p>
      <w:r>
        <w:rPr>
          <w:b/>
        </w:rPr>
        <w:t>E. 1</w:t>
      </w:r>
    </w:p>
    <w:p>
      <w:r>
        <w:t>Le Code de procédure civile suisse du 19 décembre 2008 (ci- après : CPC, est entré en vigueur le 1er janvier 2011. Toutefois le jugement attaqué est antérieur à cette date de sorte que le recours est régi par le CPC-VD (art. 405 al. 1 CPC-VD), quand bien même l'arrêt de renvoi du Tribunal fédéral a été rendu en 2011 (TF 4A_641/2011 du 27 janvier 2012 c. 2.2; CREC I 21 septembre 2011/245).</w:t>
      </w:r>
    </w:p>
    <w:p>
      <w:r>
        <w:rPr>
          <w:b/>
        </w:rPr>
        <w:t>E. 2</w:t>
      </w:r>
    </w:p>
    <w:p>
      <w:r>
        <w:t>La LTF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a tranché définitivement la question de la validité du congé litigieux et renvoyé la cause pour instruire et statuer sur celle d'une éventuelle prolongation de bail.</w:t>
      </w:r>
    </w:p>
    <w:p>
      <w:r>
        <w:rPr>
          <w:b/>
        </w:rPr>
        <w:t>E. 3</w:t>
      </w:r>
    </w:p>
    <w:p>
      <w:r>
        <w:t>Le recourant soutient qu'il convient de statuer en l'état du dossier et que les conditions d'une prolongation ne sont pas réalisées.</w:t>
      </w:r>
    </w:p>
    <w:p>
      <w:r>
        <w:t>- 7 -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lI 446 c. 3b ; Lachat, Le bail à loyer, 2e éd., 2008, p. 771).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précité). 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w:t>
      </w:r>
    </w:p>
    <w:p>
      <w:r>
        <w:t>- 8 -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précité;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SVIT, Das Schweizerische Mietrecht – Kommentar, 3e éd., 2008, n. 15 ad art. 272 CO, p. 782; Weber, Basler Kommentar, 5e éd., 2011, n. 3 ad art. 272 CO, p. 1621; contra: Lachat, op. cit., note infrapaginale n° 40, p. 771 et les réf.). La notion de conséquences pénibles doit être appréciée au cas par cas, en tenant compte de toutes les circonstances (Cahiers du bail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précité; Tercier/Favre/Bugnon, Les contrats spéciaux, 4e éd., 2009, n° 2764, p. 406).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w:t>
      </w:r>
    </w:p>
    <w:p>
      <w:r>
        <w:rPr>
          <w:b/>
        </w:rPr>
        <w:t>E. 4</w:t>
      </w:r>
    </w:p>
    <w:p>
      <w:r>
        <w:t>CC [Code civil suisse du 10 décembre 1907, RS 210]).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w:t>
      </w:r>
    </w:p>
    <w:p>
      <w:r>
        <w:t>- 9 - guider par des considérations étrangères à la disposition applicable, s’il ne prend pas en compte les éléments d’appréciation pertinents ou s’il en tire des déductions à ce point injustifiables que l’on doive parler d’un abus du pouvoir d’appréciation (ATF 135 III 121 c. 2 ; ATF 133 II 201 c. 5.4 ; ATF 125 III 226 c. 4b ;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d’un nouveau logement dès la notification du congé (ATF 125 I 226 c. 4c ; Lachat, op. cit., p. 782 et les réf. citées). L’art. 272b al. 1 CO prévoit que la durée de la prolongation pour des baux d’habitation est de quatre ans au maximum, limite dans laquelle une ou deux prolongations peuvent être accordées (Lachat, op. cit., pp. 782-783). Procéder par deux prolongations successives ne se justifie cependant que lorsqu’il existe une incertitude caractérisée sur la situation à la fin de la première période de prolongation (TF 4A_621/2009 du 25 février 2010 c. 2.4.2, in CdB 2010, p. 83). Une prolongation unique peut être ordonnée lorsque, au moment du jugement, un pronostic fiable peut être posé quant aux difficultés du locataire à trouver un local de remplacement (Weber, op. cit., n. 15 ad art. 272 CO, p. 1627 ; CREC I 26 août 2009/417), respectivement lorsque le locataire peut disposer d’une solution de remplacement en déployant les efforts nécessaires (Conod, Droit du bail à loyer : Commentaire pratique, Bohnet/Montini éd., 2010, n.</w:t>
      </w:r>
    </w:p>
    <w:p>
      <w:r>
        <w:rPr>
          <w:b/>
        </w:rPr>
        <w:t>E. 9</w:t>
      </w:r>
    </w:p>
    <w:p>
      <w:r>
        <w:t>ad art. 272b CO, p. 1073). Une prolongation unique est également envisageable lorsque le locataire n’a pas fait de recherches intensives de locaux de remplacement jusqu’au moment de la prolongation (TF 4C.400/2001 du 4 mars 2002 c. 4 ; SVIT, op. cit., n. 6 ad art. 272b CO, p. 817).</w:t>
      </w:r>
    </w:p>
    <w:p>
      <w:r>
        <w:t>- 10 - En l'espèce, les demandeurs ont conclu devant le Tribunal des baux subsidiairement à une prolongation du bail de quatre ans. Ils n'ont cependant articulé, dans leur demande, aucune allégation en relation avec cette conclusion. Par courrier du 15 juin 2010, le Président du Tribunal des baux leur a imparti un délai au 15 juillet 2010 pour produire notamment "toute pièce établissant les conséquences pénibles de la fin du bail", de même que "toute pièce utile à prouver la situation personnelle et financière de la partie locataire (état civil, situation professionnelle, revenus et fortune), en particulier ses deux dernières déclarations fiscales et les taxations fiscales y relatives". Dans le délai imparti, les demandeurs ont produit les pièces nos 13 à 25 sous bordereau II. De son côté, le défendeur a allégué, dans sa réponse du 21 septembre 2010, une série d'éléments (cf. allégués nos 98 à 109) pour s'opposer à la prolongation de bail sollicitée. Vu la solution adoptée par le Tribunal des baux, ces différents éléments de fait et les pièces produites n'ont pas été examinées par ce dernier sous l'angle d'une éventuelle prolongation de bail. Or, en cette matière, le juge établit d'office les faits (cf. art. 11 al. 2 LTB [loi du 13 décembre 1981 sur le Tribunal des baux]). Selon la maxime inquisitoriale applicable, le juge doit interroger les parties et les informer de leur devoir de collaboration et de production de pièces. Il ne découle pas du devoir d'interpeller la partie, lorsque les preuves de celle-ci sont incomplètes, que le juge devrait, à réception des pièces dont la production a été requise, indiquer si les pièces en question suffisent ou non à rapporter la preuve du fait invoqué et interpeller à nouveau la partie afin qu'elle complète sa production (cf. Byrde/Giroud Walther/Hack, in Procédures spéciales vaudoises, 2008, n. 6a ad art. 11 LTB, p. 120). Il résulte du jugement attaqué que le Tribunal des baux, vu la solution adoptée, n'a pas statué sur "les autres motifs avancés par les demandeurs à l'appui de leurs conclusions" ni sur "la prolongation du bail litigieux (cf. jugement, p. 7). L'instruction à effectuer dépasse le cadre restreint de l'instruction complémentaire selon l'art. 456a al. 1 CPC-VD (JT 2003 III 3) et le respect de la garantie de la double instance pour l'appréciation des faits commande d'annuler d'office le jugement en application de l'art. 456a al. 2 CPC-VD et de renvoyer la cause au Tribunal</w:t>
      </w:r>
    </w:p>
    <w:p>
      <w:r>
        <w:t>- 11 - des baux, afin qu'il examine lui-même la conclusion en prolongation de bail et rende une nouvelle décision à ce propos. Il lui incombera en particulier de procéder à une pesée des intérêts en présence et de tenir compte en particulier de la situation du locataire restant à la lumière des circonstances nouvelles intervenues entre-temps, notamment le départ de la colocataire M.________.. 4. En conclusion, le jugement doit être annulé d'office et la cause renvoyée au Tribunal des baux pour nouvelle instruction et nouveau jugement dans le sens des considérants. Les frais de deuxième instance du recourant sont arrêtés à 1'200 fr. (art. 232 aTFJC [tarif du 4 décembre 1984 des frais judicaires en matière civile]). Obtenant gain de cause sur la question de la validité du congé et conformément à l'injonction du Tribunal fédéral de statuer sur les frais et dépens de la procédure cantonale, le recourant a droit à des dépens de deuxième instance, fixés à 3'000 fr. (art. 91 et 92 CPC-VD; art. 2 al. 1 ch. 33, art. 3 et 5 ch. 2 TAv [tarif du 17 juin 1986 des honoraires d'avocat dus à titre de dépens]). Par ces motifs, la Chambre des recours du Tribunal cantonal, statuant en audience publique, prononce : I. Le jugement est annulé d'office. II. La cause est renvoyée au Tribunal des baux pour nouvelle instruction et nouveau jugement dans le sens des considérants.</w:t>
      </w:r>
    </w:p>
    <w:p>
      <w:r>
        <w:t>- 12 - III. Les frais de deuxième instance du recourant sont arrêtés à 1'200 fr. (mille deux cents francs). IV. Les intimés Q.________ et M.________, solidairement entre eux, doivent verser au recourant B.________ la somme de 3'000 fr. (trois mille francs) à titre de dépens de deuxième instance. V. L'arrêt motivé est exécutoire. Le président : Le greffier : Du 15 février 2012 Le dispositif de l'arrêt qui précède est communiqué par écrit aux intéressés. Le greffier : Du L'arrêt qui précède, dont la rédaction a été approuvée à huis clos, est notifié en expédition complète, par l'envoi de photocopies à : - Me Tony Donnet-Monay (pour B.________), - Me Coralie Germond (pour Q.________), - Mme M.________.</w:t>
      </w:r>
    </w:p>
    <w:p>
      <w:r>
        <w:t>- 13 -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