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XA23.035773 vom 4. September 2025</w:t>
      </w:r>
    </w:p>
    <w:p>
      <w:r>
        <w:t>VD Tribunal cantonal, 2025-09-04, FR</w:t>
      </w:r>
    </w:p>
    <w:p>
      <w:r>
        <w:rPr>
          <w:b/>
        </w:rPr>
        <w:t xml:space="preserve">Quelle: </w:t>
      </w:r>
      <w:r>
        <w:t>https://mcp.opencaselaw.ch/entscheid/vd_gerichte_XA23.035773</w:t>
      </w:r>
    </w:p>
    <w:p>
      <w:r>
        <w:t>FR: VD_GERICHTE XA23.035773 du 4 septembre 2025</w:t>
      </w:r>
    </w:p>
    <w:p>
      <w:r>
        <w:t>IT: VD_GERICHTE XA23.035773 del 4 settembre 2025</w:t>
      </w:r>
    </w:p>
    <w:p>
      <w:pPr>
        <w:pStyle w:val="Heading2"/>
      </w:pPr>
      <w:r>
        <w:t>Erwägungen</w:t>
      </w:r>
    </w:p>
    <w:p>
      <w:r>
        <w:rPr>
          <w:b/>
        </w:rPr>
        <w:t>E. 14</w:t>
      </w:r>
    </w:p>
    <w:p>
      <w:r>
        <w:t>juillet 2023 consid. 2.3 ; TF 4A_274/2020 du 1er septembre 2020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citées ; TF 5A_577/2020 précité consid. 6 ; sur le tout : TF 5A_779/2021, 5A_787/2021 du 16 décembre 2022 consid. 4.3.1 ; CACI 15 mars 2023/123 consid. 3.2.1.1). 2.4 2.4.1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2.4.2 Les pièces N3, N4, N6 et N7 produites par les appelants à l’appui de leur acte d’appel concernent des pseudo nova que ceux-ci – s’ils avaient fait preuve de la diligence requise – auraient eu le loisir de produire devant l’autorité précédente. Partant, ces pièces nouvelles sont irrecevables. Les autres pièces produites, à savoir des pièces dites de</w:t>
      </w:r>
    </w:p>
    <w:p>
      <w:r>
        <w:t>- 15 - forme, ainsi que des pièces figurant d’ores et déjà au dossier de première instance, sont quant à elles recevables. 3. 3.1 Dans un premier moyen, les appelants soutiennent en substance, et comme en première instance, que l’erreur d’adressage figurant sur la formule officielle entraînerait la nullité de celle-ci. Selon eux, l’identification d’une personne contractante repose sur plusieurs éléments combinés, tels que l’adresse, le nom et la date de naissance. A l’appui de leur argument, ils invoquent ne pas avoir connaissance d’un acte légal suisse dans lequel une partie ne serait identifiée que par son seul nom. 3.2 En vertu de l’art. 270 al. 2 CO (loi fédérale du 30 mars 1911 complétant le Code civil suisse [livre cinquième : Droit des obligations] ; RS 220), en cas de pénurie de logements, les cantons peuvent rendre obligatoire, sur tout ou partie de leur territoire, l’usage de la formule officielle mentionnée à l’art. 269d CO pour la conclusion de tout nouveau bail. Le canton de Vaud a fait usage de cette faculté en édictant la loi du 7 mars 1993 sur l’utilisation d’une formule officielle au changement de locataire (LFOCL ; BLV 221.315). L’utilisation de la formule a été rendue obligatoire par l’arrêté du Conseil d’Etat du 9 juillet 2001 sur l’obligation de l’utilisation de la formule officielle au changement de locataire, remplacé par l’arrêté du 26 mars 2014 (ALFOCL ; BLV 221.315.1). Selon l’art. 19 al. 3 OBLF (ordonnance du 9 mai 1990 sur le bail à loyer et le bail à ferme d’habitations et de locaux commerciaux ; RS 221.213.11), les al. 1 et 1bis de cette disposition sont applicables par analogie lorsque les cantons rendent obligatoire, au sens de l’art. 270 al. 2 CO, l’utilisation de la formule lors de la conclusion d’un nouveau contrat de bail. L’art. 19 al. 1 OBLF prévoit que la formule destinée à communiquer au locataire les hausses de loyer et autres modifications unilatérales du contrat au sens de l’art. 269d CO doit contenir pour les hausses de loyer (let. a) : 1. le montant de l’ancien loyer et l’ancien état</w:t>
      </w:r>
    </w:p>
    <w:p>
      <w:r>
        <w:t>- 16 - des charges ; 2. le montant du nouveau loyer et le nouvel état des charges ; 3. la date d’entrée en vigueur de la hausse ; 4. les motifs précis de la hausse, étant précisé que lorsque la hausse repose sur plusieurs motifs, les montants correspondant à chacun d’entre eux sont à détailler ; 5. en cas de prestations supplémentaires, l’indication que le bailleur reçoit des aides pour des améliorations créant des plus-values. Pour les autres modifications unilatérales du contrat, la formule doit contenir (let. b) : 1. la désignation des prétentions ; 2. la date de leur entrée en vigueur ; 3. les motifs précis justifiant ces prétentions. Dans ces deux cas, visés par les let. a et b, la formule doit contenir (let. c) : 1. les conditions légales dans lesquelles le locataire peut contester le bien-fondé de la prétention ; 2. la liste des autorités de conciliation existant dans le canton et leur compétence à raison du lieu. 3.3 L’argument des appelants est dénué de tout fondement. En effet, ceux-ci ont signé la formule officielle querellée sous leurs noms respectifs et dite formule mentionnait adéquatement l’appartement pour lequel les parties venaient de signer un contrat de bail. Il n’y a dès lors aucun doute quelconque sur l’identité de la partie locataire désignée dans la formule et c’est donc à juste titre que les premiers juges ont retenu que l’adresse inexacte qui y figurait n’avait aucune incidence sur sa validité. La lecture que les appelants font de la jurisprudence du Tribunal fédéral est erronée. L’ATF 142 III 369 mentionne seulement à son considérant 4.3.1 qu’une formule contenait, dans le cas d’espèce, l’adresse des locataires. Contrairement à ce que soutiennent les appelants, cet arrêt ne prévoit pas – et on ne peut en aucun cas le déduire implicitement comme ils tentent vainement de le faire – que la mention de l’adresse serait une condition de validité de la formule. Cela n’est du reste pas prévu par l’art. 19 OBLF (cf. supra consid. 3.2). L’argumentation des appelants relève par ailleurs de la mauvaise foi. Outre qu’ils sont présumés avoir reçu la formule avec le premier envoi du bailleur (ATF 142 III 369 précité consid. 4.2), ils ont, à la suite du second envoi, retourné la formule officielle signée à la gérance.</w:t>
      </w:r>
    </w:p>
    <w:p>
      <w:r>
        <w:t>- 17 - S’ils avaient alors accordé une telle importance à l’erreur d’adressage dont il est question, ils l’auraient signalée à l’époque. Il est absurde d’affirmer à présent qu’en raison de cette erreur, ils auraient « ignoré » la formule, l’auraient considérée comme une erreur d’expédition, qu’ils n’en auraient pas compris le contenu (cf. appel, p. 4 in initio et ch. 7) et qu’ils auraient ainsi été privés de la possibilité de contester le loyer initial (cf. appel, p. 4 in initio). Enfin, les appelants font valoir qu’il existe deux appartements de trois pièces et demie au même étage. Il ne serait donc pas certain, selon eux, que la formule concernait bien l’appartement qu’ils ont loués. Outre qu’ils invoquent un fait nouveau irrecevable et qu’ils s’écartent, sans justifier leur critique, de l’état de fait retenu par les premiers juges, cet argument est téméraire. En effet, la formule concerne explicitement un appartement de trois pièces et demie au quatrième étage de l’immeuble sis [...] à [...]. Il est évident, et il était évident pour les appelants lorsqu’ils ont signé la formule officielle, que dite formule concernait l’appartement qu’ils prenaient en location et non celui de leur voisin de palier. Mal fondé, le moyen est rejeté. 4. 4.1 Dans un troisième moyen, les appelants font valoir, d’une part, que les premiers juges se seraient uniquement fondés sur les copies numérisées du bail et de la formule officielle produites par l’intimée et, d’autre part, que « la conservation exclusive d’images numérisées dans un logiciel inconnu pose un problème majeur d’authenticité » (cf. appel, p. 5). Selon eux, les pièces produites par l’intimée auraient été manipulées et l’incapacité de celle-ci de produire les documents originaux porterait atteinte à leur droit à un procès équitable. Par ailleurs, ils soutiennent que la formule officielle ne comporte pas les signatures « en original » et ne précise pas le nom de la personne signataire, la rendant invalide.</w:t>
      </w:r>
    </w:p>
    <w:p>
      <w:r>
        <w:t>- 18 - 4.2 L’art. 180 al. 1 CPC prévoit qu'une copie du titre peut être produite à la place de l'original. Celle-ci assume alors une fonction probatoire équivalente à celle d'un original, s'il n'y a pas de doute sérieux quant à la conformité de la copie à l'original (Vouilloz, Petit commentaire, Code de procédure civile, Bâle 2020, n. 3 ad art. 180 CPC ; Schweizer, Commentaire romand, Code de procédure civile, 2e éd., Bâle 2019, n. 2 ad art. 180 CPC ; CACI 10 avril 2024/156 consid. 4.2). Il appartient à l'autorité judiciaire saisie ou aux autres parties d'exiger la production de l'original ou d'une copie certifiée conforme, lorsqu'il y a des raisons fondées de douter de l'authenticité du titre (art. 180 al. 1, 2e phr., CPC). 4.3 En l’espèce, il n’existe aucune raison de douter de l’authenticité des pièces produites au dossier. Qui plus est, les appelants n’ont pas requis en première instance, alors qu’ils étaient assistés d’un conseil, la production des pièces originales. Ainsi, ce moyen ne peut être soulevé en seconde instance et il faut considérer que les copies produites en première instance ont une valeur probante équivalente à leurs versions originales, se confondant donc avec celles-ci. Pour le surplus, l’argumentation des appelants est difficilement compréhensible. Si les appelants accusent l’intimée d’avoir produit des faux dans les titres en manipulant des documents informatiques, il y a lieu de rappeler que les appelants ont eux-mêmes allégué dans leur demande du 5 janvier 2024 que la formule officielle leur avait été transmise par courrier du 8 novembre 2018 et que la gérance l’avait reçue en retour le 13 novembre 2018 (all. 16 et 17). Entendu en qualité de partie à l’audience du 29 mai 2024, l’appelant a déclaré qu’après avoir reçu le courrier du 8 novembre 2018 de la gérance, ils avaient alors téléphoné à la gérance, avaient effectivement reçu la formule, l’avaient contresignée et l’avaient renvoyée à cette dernière. Dans ces conditions, il est pour le moins téméraire d’affirmer en appel que l’existence de leurs signatures n’est pas établie au motif que l’intimée n’aurait produit qu’une copie de la formule incriminée. Par ailleurs, leur signature n’a pas de portée juridique propre mais atteste uniquement qu’ils ont pris connaissance de la formule officielle, ce qu’ils ne contestent pas.</w:t>
      </w:r>
    </w:p>
    <w:p>
      <w:r>
        <w:t>- 19 - Partant, leur moyen est mal fondé. 5. 5.1 Il faut d’emblée constater que le quatrième moyen soulevé par les appelants est pour le moins confus et difficilement compréhensible. Ils commencent par fonder leur raisonnement sur des moyens de preuve irrecevables, puis semblent ensuite s’en prendre au raisonnement des premiers juges, selon lequel les locataires sont présumés avoir reçu la formule officielle dès lors qu’elle est mentionnée dans les annexes du contrat de bail. 5.2 Le grief précité est à la limite de la recevabilité sous l’angle de la motivation, dès lors que les appelants se contentent d’élever des critiques inconséquentes quant au fardeau de la preuve. Les appelants ne s’en prennent pas valablement à l’analyse effectuée par les premiers juges et ne démontrent a fortiori pas que leur raisonnement serait erroné. En réalité, le tribunal a correctement appliqué la jurisprudence à cet égard (ATF 142 III 369 précité). Par surabondance, la critique des appelants est sans portée puisqu’il est établi que la gérance leur a fait parvenir la formule officielle par un courrier ultérieur. Le grief doit donc être rejeté, pour peu qu’on le considère recevable. 6. 6.1 Enfin, dans leur dernier grief, les appelants admettent avoir reçu la formule officielle mais exposent s’être souvenus « avec le recul et dans le contexte actuel » que cette réception aurait eu lieu après les fêtes de fin d’année 2018, respectivement au début de l’année 2019, soit postérieurement au délai de trente jours suivant la prise de possession de l’appartement objet du contrat de bail. Ils considèrent dès lors que c’est à tort que les premiers juges n’ont pas retenu la nullité du loyer initial.</w:t>
      </w:r>
    </w:p>
    <w:p>
      <w:r>
        <w:t>- 20 - 6.2 Pour que la formule officielle soit valablement notifiée, il faut qu’elle soit parvenue au locataire dans les trente jours suivant la remise de la chose. La notification est soumise au principe de la réception absolue, c’est-à-dire qu’elle déploie ses effets dès le moment où elle entre dans la sphère d’influence du destinataire (Dietschy-Martenet, Droit du bail à loyer et à ferme, Commentaire pratique [ci-après : CPra Bail], 2e éd., Bâle 2017, n. 80 ad art. 270 CO et la jurisprudence citée ; Bohnet, CPra Bail, n. 4 ad art. 266a CO). 6.3 L’examen des pièces du dossier établit – sans qu’il n’y ait de place au doute – que les appelants ont bel et bien reçu la formule officielle. Il semblerait même qu’ils l’aient reçue deux fois. Si les premiers juges ont pris en compte la pièce produite en audience par l’intimée, à savoir une copie de la formule officielle signée par les appelants, ceux-ci ont également produit une copie de la formule à l’appui de leur première demande (P. 3 du bordereau du 21 août 2023), laquelle n’est pas signée par leurs soins. Qui plus est, le sceau et la signature du bailleur n’est pas exactement au même endroit que sur la formule produite par l’intimée. On doit donc en inférer que la pièce 3 précitée se trouve être la formule officielle qui leur avait été adressée en annexe au contrat de bail. Quoiqu’il en soit, l’intimée a produit la formule officielle signée par les appelants – dont l’authenticité ne peut plus être contestée à ce stade (cf. supra consid. 4.3) – comportant un sceau, selon lequel ce document a été reçu par la gérance le 13 novembre 2018, soit dans le délai de trente jours de l’art. 270 al. 1 CO. Si ce qui précède suffit à sceller le sort de ce grief, on relèvera, à titre superfétatoire, que les appelants n’ont pas fait valoir en première instance qu’ils auraient reçu la formule à la fin de l’année 2018 ou au début de l’année 2019. Bien au contraire, ils ont eux-mêmes allégués, d’une part, avoir reçu le formulaire après avoir relancé la gérance par téléphone – aux dires de l’appelant lors de son interrogatoire en qualité de partie – et, d’autre part, que la gérance avait reçu le formulaire en retour</w:t>
      </w:r>
    </w:p>
    <w:p>
      <w:r>
        <w:t>- 21 - le 13 novembre 2018 (all. 16 et 17 de la demande du 5 janvier 2024). Soutenir à présent avoir reçu la formule officielle après les fêtes de fin d’année 2018 ou en début d’année 2019 est téméraire. S’ensuit le rejet du grief et, avec celui-ci, de l’appel. 7. 7.1 Au vu de ce qui précède, l’appel, manifestement infondé, doit être rejeté en application de l’art. 312 al. 1 in fine CPC et le jugement confirmé. 7.2 Les frais judiciaires de deuxième instance, arrêtés à 1’818 fr. (art. 62 al. 1 et 2 TFJC [tarif des frais judiciaires civils du 28 septembre 2010 ; BLV 270.11.5]), seront mis à la charge des appelants, solidairement entre eux, qui succombent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