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XA19.000517 vom 9. Juni 2020</w:t>
      </w:r>
    </w:p>
    <w:p>
      <w:r>
        <w:t>VD Tribunal cantonal, 2020-06-09, FR</w:t>
      </w:r>
    </w:p>
    <w:p>
      <w:r>
        <w:rPr>
          <w:b/>
        </w:rPr>
        <w:t xml:space="preserve">Quelle: </w:t>
      </w:r>
      <w:r>
        <w:t>https://mcp.opencaselaw.ch/entscheid/vd_gerichte_XA19.000517</w:t>
      </w:r>
    </w:p>
    <w:p>
      <w:r>
        <w:t>FR: VD_GERICHTE XA19.000517 du 9 juin 2020</w:t>
      </w:r>
    </w:p>
    <w:p>
      <w:r>
        <w:t>IT: VD_GERICHTE XA19.000517 del 9 giugno 2020</w:t>
      </w:r>
    </w:p>
    <w:p>
      <w:pPr>
        <w:pStyle w:val="Heading2"/>
      </w:pPr>
      <w:r>
        <w:t>Erwägungen</w:t>
      </w:r>
    </w:p>
    <w:p>
      <w:r>
        <w:rPr>
          <w:b/>
        </w:rPr>
        <w:t>E. 3</w:t>
      </w:r>
    </w:p>
    <w:p>
      <w:r>
        <w:t>Par avis du 28 mars 2019, la présidente a imparti à U.________ un délai au 1er mai 2019 pour produire toute pièce établissant l’existence et l’ampleur des défauts invoqués et toute pièce établissant dans quelle mesure et sur quelle durée l’usage de la chose louée avait été restreint en raison de ces défauts.</w:t>
      </w:r>
    </w:p>
    <w:p>
      <w:r>
        <w:rPr>
          <w:b/>
        </w:rPr>
        <w:t>E. 3.1</w:t>
      </w:r>
    </w:p>
    <w:p>
      <w:r>
        <w:t>L’appelant se plaint d’une violation des art. 6 CEDH et 29 Cst., soit d’une violation de son droit d’être entendu et de son droit à un procès équitable. En particulier, il reproche aux premiers juges d’avoir refusé, respectivement ignoré, la demande de report de l’audience de jugement du 17 septembre 2019. L’autorité de première instance aurait agi avec un formalisme excessif l’empêchant d’accéder à une justice équitable et impartiale. Selon l’appelant, les magistrats ne pouvaient pas refuser de reporter l’audience en sachant qu’il ne serait pas en mesure de s’y préparer et d’y assister du fait de la gravité et de l’importance d’une procédure urgente concernant son enfant. L’appelant se plaint également du refus de l’autorité précédente d’ordonner une inspection locale afin de constater les défauts et les conséquences de ceux-ci, « requête que l’autorité de première instance a rejeté sans aucune tentative de proposer ou de trouver une date appropriée pour une telle inspection ». Il fait valoir que des inspections locales auraient systématiquement été ordonnées dans les précédentes procédures pour défauts.</w:t>
      </w:r>
    </w:p>
    <w:p>
      <w:r>
        <w:rPr>
          <w:b/>
        </w:rPr>
        <w:t>E. 3.2</w:t>
      </w:r>
    </w:p>
    <w:p>
      <w:r>
        <w:t>Selon l'article 135 CPC, le tribunal peut, d'office (let. a) ou sur requête (let. b), renvoyer la date d'une comparution pour des motifs suffisants.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w:t>
      </w:r>
    </w:p>
    <w:p>
      <w:r>
        <w:t>- 8 - rapide du procès, et de l'autre garantir le droit d'être entendu des parties ;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(TF 5A_715/2018 du 21 mai 2019 consid. 4.1 ; TF 5A_293/2017 du 5 juillet 2017 consid. 4.2). Compris comme l'un des aspects de la notion générale de procès équitable au sens de l'art. 29 Cst. et 6 CEDH, le droit d'être entendu garantit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TF 1B_539/2019 du 19 mars 2020 consid. 3.1). Le droit d'être entendu comprend également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 ATF 127 III 576 consid. 2c ; TF 1C_154/2018 du 4 juillet 2018 consid. 3.1).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 ATF 136 I 229 consid. 5.3 ; ATF 134 I 140 consid. 5.3 ; ATF 115 Ia 97 consid. 5b). Ce principe vaut même lorsque la maxime inquisitoire s'applique (ATF 130 III 734 consid. 2.2.3 et les arrêts cités ; TF 5A_678/2015 du 2 décembre 2015 consid. 5.1).</w:t>
      </w:r>
    </w:p>
    <w:p>
      <w:r>
        <w:t>- 9 -</w:t>
      </w:r>
    </w:p>
    <w:p>
      <w:r>
        <w:rPr>
          <w:b/>
        </w:rPr>
        <w:t>E. 3.3.1</w:t>
      </w:r>
    </w:p>
    <w:p>
      <w:r>
        <w:t>En l’espèce, il convient de rappeler qu’à la suite de la demande de l’appelant de reporter l’audience, la présidente a constaté, le 26 août 2019, que l’audience devant le Tribunal des baux avait été fixée par avis du 28 mars 2019, soit bien avant celle agendée aux Etats-Unis. Elle a précisé que, si pour des questions d’urgence, cette dernière ne pouvait pas être renvoyée, il revenait à l’appelant de produire la réponse écrite du magistrat en charge du dossier. Ce n’est que le 2 septembre 2019 que l’appelant s’est manifesté en se référant à l’avis du 26 août 2019 et a à nouveau demandé un report d’audience, mais sans produire le titre requis par la présidente. L’intéressé s’est en effet limité à soutenir que « l’audience d’urgence agendée pour le 19 septembre 2019 ne [pouvait] en aucun cas être reportée, particulièrement au bénéfice d’une audience visant à régler une simple question de réduction de loyer ». La présidente a, par avis du 6 septembre 2019, invité l’appelant à produire, à tout le moins, une copie de la requête qu’il avait déposée aux Etats-Unis, pour en apprécier le caractère urgent, ce qu’il n’a pas fait. On relèvera à cet égard que l’appelant reproche à la présidente de ne pas avoir donné suite à sa correspondance du 2 septembre 2019, ce qui est inexact. Sur la base de ce qui précède, la présidente était légitimée à refuser de renvoyer l’audience du 17 septembre 2019, l’appelant n’ayant pas suffisamment établi l’impossibilité de faire reporter l’audience prévue aux Etats-Unis, alors qu’il pouvait produire un titre de l’autorité attestant d’une telle impossibilité, respectivement une copie de la requête qu’il avait déposée, ce qui aurait vraisemblablement été suffisant. La décision de ne pas reporter l’audience prévue le 17 septembre 2019 est dès lors exempte de tout reproche. On ne décèle ainsi aucune violation des dispositions légales dénoncées ici par l’appelant.</w:t>
      </w:r>
    </w:p>
    <w:p>
      <w:r>
        <w:rPr>
          <w:b/>
        </w:rPr>
        <w:t>E. 3.3.2</w:t>
      </w:r>
    </w:p>
    <w:p>
      <w:r>
        <w:t>S’agissant de l’inspection locale, force est de relever que le 26 mars 2019, la présidente a rejeté la requête de preuve à futur et il ne ressort pas du dossier que l’appelant aurait interjeté avec succès un recours, soumis à l’exigence d’un préjudice difficilement réparable (cf. art.</w:t>
      </w:r>
    </w:p>
    <w:p>
      <w:r>
        <w:t>- 10 - 319 let. b al. 2 CPC), contre cette décision. En tout état de cause, comme relevé à juste titre par la présidente, au moment du dépôt de la requête de preuve à futur, le bail avait pris fin de manière incontestable. L’appelant n’avait dès lors plus droit à l’élimination des défauts invoqués. S’agissant de la prétention de l’appelant en réduction du loyer, elle ne pouvait que concerner une période passée, pour laquelle une inspection locale n’aurait été d’aucune utilité. C’est dès lors à raison que la présidente a refusé d’administrer un moyen de preuve qui n’était pas pertinent. L’appelant ne conteste pas de manière convaincante la motivation de la présidente de refuser de mettre en œuvre une inspection locale, puisqu’il se limite à indiquer que l’autorité aurait dû proposer ou trouver une date appropriée pour une telle inspection. Il ne revient pas non plus sur l’explication, au demeurant fondée, donnée par la présidente, selon laquelle une telle mesure d’instruction n’avait plus aucun intérêt. L’état du défaut à établir pour fonder une réduction de loyer concernait une période antérieure à la requête de preuve à futur, pour laquelle d’autres moyens de preuve auraient pu être avancés, ce qui n’a pas été fait à satisfaction. Il importe dès lors peu que, dans d’autres procédures, l’autorité ait systématiquement agendé une inspection locale afin de constater les défauts et les conséquences de ceux-ci. On relèvera que l’appelant, qui se plaint d’une violation de son droit d’être entendu, n’a pas produit dans le délai échéant au 1er mai 2019 les pièces requises par la présidente dans son avis du 28 mars 2019 et qui devaient établir l’existence et l’ampleur du défaut et sur quelle durée l’usage de la chose louée avait été restreint en raison de ces défauts.</w:t>
      </w:r>
    </w:p>
    <w:p>
      <w:r>
        <w:rPr>
          <w:b/>
        </w:rPr>
        <w:t>E. 4</w:t>
      </w:r>
    </w:p>
    <w:p>
      <w:r>
        <w:t>Par avis du 28 mars 2019, la présidente a appointé une audience au 17 septembre 2019. Par courrier du 19 août 2019, U.________ a demandé le report de l’audience du 17 septembre 2019, au motif qu’une audience devait être tenue le 19 septembre 2019 par une autorité judiciaire américaine dans le cadre d’une procédure concernant l’enlèvement de sa fille. Il a produit la convocation à l’audience, datée du 14 août 2019, ainsi que ses documents de voyage, faisant état d’un vol aller le 16 septembre 2019 et d’un vol retour le 20 septembre 2019. Par avis du 26 août 2019, la présidente a refusé de reporter l’audience du 17 septembre 2019 au motif qu’elle avait été fixée avant celle devant avoir lieu aux Etats-Unis. La présidente a précisé que, si pour des questions d’urgence, l’audience devant être tenue aux Etats-Unis ne pouvait pas être renvoyée, U.________ était invité à lui faire parvenir la réponse écrite du magistrat en charge du dossier. Se référant à l’avis du 26 août 2019, U.________ a, par courrier du 2 septembre 2019, à nouveau requis le report de l’audience du 17 septembre 2019. Il a en substance fait valoir que « l’audience d’urgence agendée pour le 19 septembre 2019 ne [pouvait] en aucun cas être reportée, particulièrement au bénéfice d’une audience visant à régler une simple question de réduction de loyer ».</w:t>
      </w:r>
    </w:p>
    <w:p>
      <w:r>
        <w:t>- 6 - Par avis du 6 septembre 2019, la présidente a invité U.________ à produire à tout le moins une copie de la requête qu’il avait déposée aux Etats-Unis pour en vérifier le caractère urgent. Une audience a été tenue le 17 septembre 2019 par le tribunal, en l’absence d’U.________. En d roit : 1. 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Les délais légaux et les délais fixés judiciairement ne courent pas du 18 décembre au 2 janvier inclus (art. 145 al. 1 let. c CPC). L’acte est réputé notifié en cas d’envoi recommandé, lorsque celui-ci n’a pas été retiré, à l’expiration d’un délai de sept jours à compter de l’échec de la remise, si le destinataire devait s’attendre à recevoir la notification (art. 135 al. 3 let. a CPC). Formé en temps utile, par une partie qui a un intérêt digne de protection (art. 59 al. 2 let. a CPC), dans une cause patrimoniale dont la valeur litigieuse au dernier état des conclusions de première instance est supérieure à 10'000 fr., l'appel est recevable. 2. 2.1 L'appel peut être formé pour violation du droit et pour constatation inexacte des faits (art. 310 CPC). L'autorité d'appel peut revoir l'ensemble du droit applicable, y compris les questions d'opportunité ou d'appréciation laissées par la loi à la décision du juge, et</w:t>
      </w:r>
    </w:p>
    <w:p>
      <w:r>
        <w:t>- 7 -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Code de procédure civile, 2e éd., 2019, nn. 2 ss et 6 ad art. 310 CPC). 2.2 Les pièces produites par U.________ (ci-après : l’appelant) sont recevables, dès lors qu’elles figurent au dossier de première instance. 3.</w:t>
      </w:r>
    </w:p>
    <w:p>
      <w:r>
        <w:rPr>
          <w:b/>
        </w:rPr>
        <w:t>E. 4.1</w:t>
      </w:r>
    </w:p>
    <w:p>
      <w:r>
        <w:t>Ce qui précède scelle le sort de l’appel, qui doit être rejeté selon le mode procédural de l’art. 312 al. 1 in fine CPC et le jugement entrepris confirmé.</w:t>
      </w:r>
    </w:p>
    <w:p>
      <w:r>
        <w:t>- 11 -</w:t>
      </w:r>
    </w:p>
    <w:p>
      <w:r>
        <w:rPr>
          <w:b/>
        </w:rPr>
        <w:t>E. 4.2</w:t>
      </w:r>
    </w:p>
    <w:p>
      <w:r>
        <w:t>L’appel étant d’emblée dénué de toute chance de succès, la requête d’assistance judiciaire doit être rejetée (art. 117 let. b CPC).</w:t>
      </w:r>
    </w:p>
    <w:p>
      <w:r>
        <w:rPr>
          <w:b/>
        </w:rPr>
        <w:t>E. 4.3</w:t>
      </w:r>
    </w:p>
    <w:p>
      <w:r>
        <w:t>Les frais judiciaires de deuxième instance, arrêtés à 1'911 fr. (art. 62 TFJC [tarif des frais judiciaires civils du 28 septembre 2010 ; BLV 270.11.5]), seront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