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XA18.002136 vom 8. Mai 2019</w:t>
      </w:r>
    </w:p>
    <w:p>
      <w:r>
        <w:t>VD Tribunal cantonal, 2019-05-08, FR</w:t>
      </w:r>
    </w:p>
    <w:p>
      <w:r>
        <w:rPr>
          <w:b/>
        </w:rPr>
        <w:t xml:space="preserve">Quelle: </w:t>
      </w:r>
      <w:r>
        <w:t>https://mcp.opencaselaw.ch/entscheid/vd_gerichte_XA18.002136</w:t>
      </w:r>
    </w:p>
    <w:p>
      <w:r>
        <w:t>FR: VD_GERICHTE XA18.002136 du 8 mai 2019</w:t>
      </w:r>
    </w:p>
    <w:p>
      <w:r>
        <w:t>IT: VD_GERICHTE XA18.002136 del 8 maggio 2019</w:t>
      </w:r>
    </w:p>
    <w:p>
      <w:pPr>
        <w:pStyle w:val="Heading2"/>
      </w:pPr>
      <w:r>
        <w:t>Erwägungen</w:t>
      </w:r>
    </w:p>
    <w:p>
      <w:r>
        <w:rPr>
          <w:b/>
        </w:rPr>
        <w:t>E. 3.1</w:t>
      </w:r>
    </w:p>
    <w:p>
      <w:r>
        <w:t>L'appelante fait valoir que, dans une autre affaire concernant un appartement similaire dans le même immeuble, le Tribunal des baux aurait clairement motivé comment il était arrivé à fixer un prix de 240 fr. au m2 par année, si bien que, dans la présente cause, le prix devrait indubitablement être fixé au même montant, le marché n'ayant pas évolué entre les deux affaires. Dans ces circonstances et compte tenu du précédent évoqué, l’appelante soutient qu’elle aurait dû être dispensée de fournir cinq appartements de comparaison. La question à résoudre est celle de savoir si la pièce produite par l'appelante, à savoir un jugement rendu le 30 août 2016 par le Tribunal des baux et concernant le même immeuble, est suffisante au regard de l'art. 269a let. a CO (Code des obligations du 30 mars 1911 ; RS 220) et des critères posés à l'art. 11 al. 1 OBLF (ordonnance du 9 mai 1990 sur le bail à loyer et le bail à fermes d'habitations et de locaux commerciaux ; RS 221.213.11), les premiers juges ayant considéré que l'appelante n'avait pas les exemples de comparaison répondant aux exigences posées par les dispositions précitées et que le jugement concerné n'était pas opposable aux parties à la présente cause.</w:t>
      </w:r>
    </w:p>
    <w:p>
      <w:r>
        <w:rPr>
          <w:b/>
        </w:rPr>
        <w:t>E. 3.2.1</w:t>
      </w:r>
    </w:p>
    <w:p>
      <w:r>
        <w:t>Ne sont, en règle générale, pas abusifs les loyers qui se situent dans les limites des loyers usuels dans la localité ou dans le quartier (art. 269a let. a CO). Selon l'art. 11 al. 1 OBLF, les loyers déterminants pour le</w:t>
      </w:r>
    </w:p>
    <w:p>
      <w:r>
        <w:t>- 9 -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consid. 4a). En règle générale, le juge doit disposer de cinq éléments de comparaison au moins. Il lui appartient de procéder à des comparaisons concrètes avec l'appartement litigieux, en fonction des critères mentionnés à l'art. 11 al. 1 OBLF (ATF 136 III 74 consid. 3.1). La comparaison avec d'autres immeubles qui appartiennent tous à un même propriétaire ne permet pas de tirer des conclusions valables en ce qui concerne le niveau général des loyers du quartier (ATF 123 III 317 consid. 4c/aa). Les logements pris en référence doivent présenter, quant à leur emplacement, des avantages analogues (environnement, infrastructures du quartier) ou des nuisances comparables (exposition au bruit, odeurs ; ATF 123 III 317 consid. 4b/ee). S'agissant en particulier de la question de la dimension du logement, le Tribunal fédéral a précisé que le nombre de pièces revêt, en principe, une importance primordiale, ce qui exclut généralement toute possibilité de comparaison entre des logements ne comprenant pas le même nombre de pièces. Cependant, la dimension du logement et la répartition des volumes constituent aussi des critères de comparaison déterminants (ATF 123 III 317 consid. 4b/cc et les réf. citées). Une différence d'exposition aux nuisances sonores exclut à elle seule toute comparaison (ATF 139 III 13 consid. 3.3.2). Un logement équipé d'un double vitrage dans un quartier tranquille n'est pas comparable à un appartement doté d'un vitrage simple dans un quartier que le bailleur lui- même ne peut qualifier de calme (TF 4C.265/2000 du 16 janvier 2001 consid. 4b/dd). Il a également été jugé qu'un logement présente un confort inférieur à la norme usuelle lorsqu'il ne permet pas de recevoir la télévision par câble, faute de raccordement au téléréseau (TF 4C.265/2000 du 16 janvier 2001 consid. 4b/ee ; sur le tout : TF 4A_58/2013 du 16 mai 2013 consid. 3.2).</w:t>
      </w:r>
    </w:p>
    <w:p>
      <w:r>
        <w:t>- 10 - La doctrine met toutefois en garde contre le risque d'effectuer une comparaison trop pointilleuse des appartements et immeubles, qui peut aboutir en pratique à une négation du critère des loyers comparatifs retenu dans la loi (cf. not. Rohrer, in Das schweizerische Mietrecht, SVIT Kommentar, 4e éd. 2018, nn. 16 et 23 s. ad art. 269a CO et les réf. citées ; pour Lachat/Stastny, in Lachat et al., Le bail à loyer, 2019, p. 579, une certaine souplesse est de mise dans la comparaison des équipements). Il est vrai qu'à l'art. 11 al. 1 OBLF, le législateur exige que les logements soient seulement « comparables », et non pas identiques ; il commande en outre d'effectuer la comparaison sur la base de critères relativement larges, qui sont l'emplacement, la dimension, l'équipement, l'état et l'année de construction (Higi, in Zürcher Kommentar, 4e éd. 1998, n. 87 ad art. 269a CO ; sur le tout : TF 4A_58/2013 du 16 mai 2013 consid. 4.2.2). La doctrine recommande ainsi de « garder une certaine flexibilité dans l'acceptation des éléments de comparaison. Il faut alors évaluer et pondérer le cadre de l'administration des preuves, au moyen d'un transport sur place (arrêt du Tribunal fédéral du 24 avril 1995, in MRA 1/96, p. 2). Ainsi, un meilleur état d'entretien, une année de construction plus récente, un emplacement plus calme ou plus facile d'accès peuvent compenser une différence de surface ou l'absence d'ascenseur ou de balcon. La différence de loyer due à l'absence de certains éléments dans l'objet de comparaison n'exclut pas pour autant une comparaison avec l'objet litigieux » (Rohrer, op. cit., n. 25 ad art. 269a CO).</w:t>
      </w:r>
    </w:p>
    <w:p>
      <w:r>
        <w:rPr>
          <w:b/>
        </w:rPr>
        <w:t>E. 3.2.2</w:t>
      </w:r>
    </w:p>
    <w:p>
      <w:r>
        <w:t>Lorsqu'il doit fixer le loyer initial, le juge dispose d'une grande marge d'appréciation (ATF 124 III 62 consid. 2b ; TF 4C.274/1997 du 27 avril 1998 consid. 4a). Cette règle s'applique mutatis mutandis au cas où le juge doit déterminer si la demande de diminution de loyer peut être refusée au motif que le loyer n'est pas abusif. Dans ces cas, le fardeau de la preuve incombe au bailleur qui soutient que le loyer est encore dans les limites d'un rendement admissible, conformément à la règle générale de l'art. 8 CC (Code civil suisse du 10 décembre 1907 ; RS 210).</w:t>
      </w:r>
    </w:p>
    <w:p>
      <w:r>
        <w:t>- 11 -</w:t>
      </w:r>
    </w:p>
    <w:p>
      <w:r>
        <w:rPr>
          <w:b/>
        </w:rPr>
        <w:t>E. 3.3</w:t>
      </w:r>
    </w:p>
    <w:p>
      <w:r>
        <w:t>En l'espèce, l'appelante soutient en substance qu'elle aurait dû être dispensée de produire cinq éléments de comparaison, dès lors qu'un appartement du même immeuble avait déjà fait l'objet d'une analyse par la même juridiction. Elle semble en déduire que, dans un cas comme celui- là, il y aurait lieu de faire abstraction du fait que l'objet comparé appartient au même propriétaire et qu'il ne serait pas nécessaire de fournir cinq objets de comparaison. En bref, le fait qu'un jugement ait déjà été rendu pour le même immeuble suffirait à déterminer quel est le loyer usuel dans le quartier. Or un tel raisonnement ne saurait être suivi. Tout d'abord, si l'on se réfère au jugement invoqué, on constatera qu'il ne s'agissait pas d'un cas de loyers comparatifs mais de calcul de rendement, contrairement au cas d'espèce. Ensuite, les juges saisis n'ont pas pu procéder au calcul de rendement car la bailleresse avait failli à son devoir de collaboration. Ils n'avaient pas non plus pu retenir le calcul de rendement effectué par les locataires, qui était purement estimatif et qui reposait sur la valeur fiscale de l'immeuble non pertinente, relevant au demeurant que le montant articulé par les locataires apparaissait déraisonnable. Dans les considérants de ce jugement, il n'y a ni calcul de rendement, ni comparaison de loyer, mais une décision ex aequo et bono, le tribunal s'en remettant à son expérience « faute de mieux ». Pour ces motifs déjà, le loyer retenu dans ce jugement ne saurait servir de référence. Par surabondance, et de manière plus générale, compte tenu des principes évoqués ci-dessus, à savoir les exigences pour considérer que deux logements peuvent être comparés, tous les appartements d'un même immeuble n'ont pas nécessairement des loyers comparables, dès lors qu'il faut notamment tenir compte de leur orientation, des rénovations entreprises, de l'accessibilité ou encore des nuisances. Le prix de location au m2 est dès lors dénué de pertinence. Pour le surplus, le jugement du Tribunal des baux est parfaitement motivé et convaincant et l'on peut s'y référer. Le moyen est dès lors mal fondé.</w:t>
      </w:r>
    </w:p>
    <w:p>
      <w:r>
        <w:rPr>
          <w:b/>
        </w:rPr>
        <w:t>E. 4</w:t>
      </w:r>
    </w:p>
    <w:p>
      <w:r>
        <w:t>- 12 -</w:t>
      </w:r>
    </w:p>
    <w:p>
      <w:r>
        <w:rPr>
          <w:b/>
        </w:rPr>
        <w:t>E. 4.1</w:t>
      </w:r>
    </w:p>
    <w:p>
      <w:r>
        <w:t>Peuvent être considérés comme des appels manifestement infondés ceux qui ne contiennent visiblement aucun grief pertinent à l’encontre de la décision de première instance et ceux qui se révèlent déjà dépourvus de toute chance de succès lors de l’examen sommaire (Gasser/Rickli, in Schweizerische Zivilprozessordnung, Kurzkommentar, 2e éd. 2014, n. 2 ad art. 312 CPC ; Jeandin, op. cit., n. 8 ad art. 312 CPC ; ATF 143 III 153 consid. 4.6, SJ 2018 I 68). Tel est le cas du présent appel, qui doit en définitive être rejeté selon l'art. 312 al. 1 in fine CPC, le jugement attaqué étant confirmé.</w:t>
      </w:r>
    </w:p>
    <w:p>
      <w:r>
        <w:rPr>
          <w:b/>
        </w:rPr>
        <w:t>E. 4.2</w:t>
      </w:r>
    </w:p>
    <w:p>
      <w:r>
        <w:t>Les frais judiciaires de deuxième instance, arrêtés à 1’547 fr. (art. 62 al. 1 TFJC [tarif des frais judiciaires civils du 28 septembre 2010 ; BLV 270.11.5]), seront mis à la charge de l’appelante, qui succombe (art. 106 al. 1 CPC).</w:t>
      </w:r>
    </w:p>
    <w:p>
      <w:r>
        <w:rPr>
          <w:b/>
        </w:rPr>
        <w:t>E. 4.3</w:t>
      </w:r>
    </w:p>
    <w:p>
      <w:r>
        <w:t>Il n’y a pas lieu à l’allocation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