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XA17.052200 vom 15. Dezember 2020</w:t>
      </w:r>
    </w:p>
    <w:p>
      <w:r>
        <w:t>VD Tribunal cantonal, 2020-12-15, FR</w:t>
      </w:r>
    </w:p>
    <w:p>
      <w:r>
        <w:rPr>
          <w:b/>
        </w:rPr>
        <w:t xml:space="preserve">Quelle: </w:t>
      </w:r>
      <w:r>
        <w:t>https://mcp.opencaselaw.ch/entscheid/vd_gerichte_XA17.052200</w:t>
      </w:r>
    </w:p>
    <w:p>
      <w:r>
        <w:t>FR: VD_GERICHTE XA17.052200 du 15 décembre 2020</w:t>
      </w:r>
    </w:p>
    <w:p>
      <w:r>
        <w:t>IT: VD_GERICHTE XA17.052200 del 15 dicembre 2020</w:t>
      </w:r>
    </w:p>
    <w:p>
      <w:pPr>
        <w:pStyle w:val="Heading2"/>
      </w:pPr>
      <w:r>
        <w:t>Erwägungen</w:t>
      </w:r>
    </w:p>
    <w:p>
      <w:r>
        <w:rPr>
          <w:b/>
        </w:rPr>
        <w:t>E. 2</w:t>
      </w:r>
    </w:p>
    <w:p>
      <w:r>
        <w:t>mai 2018. L’ECA a remis, le 4 mai 2018, une copie de la police d’assurance concernant la parcelle où est situé l’appartement litigieux.</w:t>
      </w:r>
    </w:p>
    <w:p>
      <w:r>
        <w:rPr>
          <w:b/>
        </w:rPr>
        <w:t>E. 2.1</w:t>
      </w:r>
    </w:p>
    <w:p>
      <w:r>
        <w:t>En premier lieu, le Tribunal fédéral a renvoyé la cause à la cour de céans pour que celle-ci calcule le montant du trop-perçu de loyers et la part de garantie de loyer dont l’appelante doit restitution aux intimés.</w:t>
      </w:r>
    </w:p>
    <w:p>
      <w:r>
        <w:rPr>
          <w:b/>
        </w:rPr>
        <w:t>E. 2.2</w:t>
      </w:r>
    </w:p>
    <w:p>
      <w:r>
        <w:t>Interpellés après la notification de l’arrêt de renvoi du 26 octobre 2020, les parties ont toutes deux conclu que l’appelante devait restituer aux intimés un montant de 36'103 fr. à titre de trop-perçu de loyers pour l’appartement et les places de parc pour la période écoulée du 16 août 2017 au 30 novembre 2020. Elles ont aussi conclu toutes deux que le montant de la garantie de loyer devait être réduit à 4'170 francs. Les calculs des parties, qui sont corrects et concordants, peuvent être confirmés, de sorte que les montants précités seront retenus. 3. 3.1 Le Tribunal fédéral a renvoyé la cause à la cour de céans pour nouvelle décision sur les frais judiciaires et sur les dépens de la procédure cantonale de première et de deuxième instances. 3.2 Les frais doivent être mis à la charge de la partie succombante (art. 106 al. 1 CPC). Lorsqu’aucune des parties n’obtient entièrement gain de cause, les frais sont répartis selon le sort de la cause (art. 106 al. 2 CPC). Selon la jurisprudence, pour déterminer si et dans quelle mesure</w:t>
      </w:r>
    </w:p>
    <w:p>
      <w:r>
        <w:t>- 16 - une partie succombe, il faut se référer au résultat final de la procédure ; il est sans importance que certains moyens d’attaque ou de défense aient été admis ou rejetés (TF 5A_942/2016 du 28 juillet 2017 consid. 6.2). Selon l’art. 318 al. 3 CPC, si l’instance d’appel statue à nouveau, elle se prononce sur les frais – soit les frais judiciaires et les dépens (art. 95 al. 1 CPC) – de la première instance. Conformément à l’art. 12 al. 1 LJB (loi vaudoise du 9 novembre 2010 sur la juridiction en matière de bail ; BLV 173.655), la procédure devant le Tribunal des baux est gratuite. Toutefois, aux termes de l'art. 12 al. 2 et 3 LJB, une partie qui agit de façon téméraire ou qui complique inutilement la procédure peut être tenue de payer un émolument de 500 fr. au maximum et des dépens d'un montant maximum de 1'500 francs. 3.3 Dans son arrêt du 2 octobre 2019, la cour de céans a confirmé l’appréciation des premiers juges selon laquelle l’appelante n’avait pas collaboré à l’administration des preuves, avait inutilement prolongé et compliqué la procédure en réclamant de vaines prolongations ainsi qu’en s’opposant quasi-systématiquement aux réquisitions de pièces et avait faussement prétendu ne pas avoir d’autres documents que ceux produits puisque son propre employé avait confirmé disposer des pièces essentielles. Ce point n’a pas été remis en question devant le Tribunal fédéral, de sorte que l’autorité de l’arrêt de renvoi empêche la cour de céans de le réexaminer. Dans tous les cas, contrairement à ce que soutient l’appelante, le fait pour les juges fédéraux d’avoir modifié leur jurisprudence quant à la fixation du loyer initial n’a pas pour effet de modifier l’appréciation exposée ci-dessus du comportement de la bailleresse devant les premiers juges. Il convient donc de confirmer l’application de l’art. 12 al. 2 et 3 LJB et de maintenir l’imputation à l’appelante, pour la première instance,</w:t>
      </w:r>
    </w:p>
    <w:p>
      <w:r>
        <w:t>- 17 - d’un émolument de justice de 500 fr. et le versement par celle-ci de dépens à l’intimée d’un montant de 1'500 fr., pour les motifs retenus par les premiers juges que la cour de céans a confirmé dans son arrêt du 2 octobre 2019. 3.4 En deuxième instance, l’appelante concluait à ce que le loyer initial de l’appartement soit fixé à 1'950 fr. par mois au lieu des 900 fr. arrêtés par les premiers juges et que le loyer mensuel de chaque place de parc soit fixé à 120 fr. au lieu des 50 fr. arrêtés par les premiers juges. Les intimés concluaient au rejet. Le Tribunal fédéral a fixé le loyer initial de l’appartement à 1'390 fr. par mois et celui des places de parc à 73 fr. par mois. Aussi, en appel, les intimés obtiennent gain de cause sur le principe de la contestation du loyer initial, de la restitution des parts de loyer versées en trop ainsi que de la réduction de la garantie locative. Le montant de leurs conclusions est toutefois réduit puisqu’ils obtiennent une réduction du loyer initial inférieure à celle qu’ils réclamaient initialement. Compte tenu de ce qui précède et vu l’issue de l’appel, les frais judiciaires de deuxième instance, arrêtés à 3'060 fr. (art. 62 al. 1 TFJC [Tarif des frais judiciaires civils du 28 septembre 2010 ; BLV 270.11.5]), doivent être mis par moitié à la charge de l’appelante et par moitié à la charge des intimés, solidairement entre eux. Les intimés, solidairement entre eux, doivent verser à l’appelante la somme de 1'053 fr. à titre de restitution partielle de l’avance de frais fournie par celle-ci (art. 111 al. 2 CPC). Pour les mêmes motifs, les dépens de deuxième instance doivent être compensés.</w:t>
      </w:r>
    </w:p>
    <w:p>
      <w:r>
        <w:t>- 18 -</w:t>
      </w:r>
    </w:p>
    <w:p>
      <w:r>
        <w:rPr>
          <w:b/>
        </w:rPr>
        <w:t>E. 4</w:t>
      </w:r>
    </w:p>
    <w:p>
      <w:r>
        <w:t>a) Le tribunal a tenu une première audience le 15 mai 2018, à laquelle la défenderesse n’a pas comparu, bien qu’elle y fût citée personnellement. A cette occasion, les demandeurs ont modifié leurs conclusions en ce sens que le loyer soit fixé à 960 fr. et que la garantie de loyer soit ramenée à 2’880 francs. La mandataire de la défenderesse a conclu au rejet de ces conclusions modifiées. Le tribunal a décidé d’office d’interrompre les débats afin de compléter l’instruction, notamment sur le point de savoir si c’était de manière justifiée ou injustifiée que la défenderesse n’avait pas collaboré à la preuve du rendement de la chose louée. La défenderesse a ainsi été priée de fournir au tribunal les coordonnées complètes de son portfolio manager, afin qu’il soit entendu en qualité de témoin. b) Le 22 mai 2018, le président du tribunal a ordonné la production des pièces suivantes : - en mains de la défenderesse : l’acte de cession par lequel H.________ est devenu seul propriétaire de l’immeuble en cause le 18 décembre 2003, ainsi que toute pièce de nature à déterminer le coût de cette acquisition, la part des fonds propres investis et leur évolution jusqu’au 1er juin 2017 ; la défenderesse a sollicité à trois reprises la prolongation du délai imparti pour s’exécuter, au motif que la pièce « n’était toujours pas en [sa] possession » ; elle n’a finalement rien produit ;</w:t>
      </w:r>
    </w:p>
    <w:p>
      <w:r>
        <w:t>- 12 - - en mains de la gérance : l’état locatif complet et détaillé, comportant notamment l’indication des surfaces, de l’ensemble des objets mis en location sur les parcelles [...] [...] de la Commune [...], au 1er juin 2017, ainsi qu’un tableau comparatif détaillé des charges des immeubles érigés sur ces parcelles pour les exercices 2012 à 2016, accompagné de toutes les pièces justificatives des montants portés en compte ; après avoir sollicité plusieurs prolongations de délai, la gérance de la défenderesse a produit, le 17 août 2018, un état locatif non daté de l’ensemble des bâtiments de la défenderesse sis sur les parcelles [...], ainsi qu’un extrait du compte de résultat de la défenderesse pour l’année 2012 relatif aux immeubles concernés ; puis, le 1er novembre 2018, la gérance a produit l’état locatif au 1er juin 2017 de l’ensemble des objets loués sur les trois parcelles de la défenderesse. c) Le 4 juin 2018, la défenderesse a communiqué les coordonnées de son portfolio manager, ainsi que de l’étude d’architectes [...], qui avait construit l’immeuble litigieux, et a produit un échange de courrier avec cette étude datant des 16 et 23 mai 2018. d) Le 7 juin 2018, le président du tribunal a ordonné production en mains [...] de « toutes les pièces permettant d’établir le coût de la construction des immeubles érigés, entre 1996 et 1998, sur les parcelles [...] [...] de la Commune [...] […] pour les maîtres d’ouvrages H.________ et H.________». Il a en outre sollicité les coordonnées de la personne qui avait supervisé le dossier au sein de l’étude. Par courrier du 11 juin 2018, [...] a répondu qu’elle n’avait « plus de documents relatifs au dossier en question », n’étant tenue vis-à- vis de ses mandants de ne conserver leurs archives que pendant dix ans. e) L’audience a été reprise le 11 septembre 2018, sans que n’y comparaisse un organe de la défenderesse, alors même que sa demande de dispense de comparution personnelle avait été préalablement rejetée.</w:t>
      </w:r>
    </w:p>
    <w:p>
      <w:r>
        <w:t>- 13 - A cette occasion, les demandeurs ont à nouveau modifié leurs conclusions, en ce sens que le loyer initial de l’appartement soit fixé à 791 fr. et que la garantie de loyer soit ramenée à 2’373 francs. Ils ont en outre modifié leur conclusion no IV comme il suit : « H.________ est la débitrice de L.________, solidairement entre eux, des parts de loyer payées en trop par ceux-ci, à raison de 18’886 fr. 50 pour l’appartement et 2’160 fr. pour les places de parc, pour la période allant du 16 août 2017 au 30 septembre 2018, puis à raison de 1’399 fr. par mois pour l’appartement et de 80 fr. par mois pour chaque place de parc dès le 1er octobre 2018. » La mandataire de la défenderesse a conclu au rejet des conclusions ainsi modifiées. Par ailleurs, invitée à indiquer quel motif avait empêché la défenderesse de produire l’acte de cession de 2003, son avocate a répondu que ce titre ne lui avait pas été remis. Le tribunal a procédé à l’audition du [...], qui œuvre en qualité de portfolio manager pour la défenderesse depuis 2012. Celui-ci a indiqué qu’il n’avait rien retrouvé dans les dossiers de l’entreprise au sujet de la construction de l’immeuble en cause, parce qu’en 2014 et 2015 avait eu lieu une fusion par absorption et qu’à cette occasion, le service immobilier et le service de gérance avaient été réunis, rendant nécessaire de faire un tri dans les archives. Cela avait eu pour conséquence que seuls les documents des dix dernières années comptables avaient été conservés. Le témoin a toutefois admis que les actes d’acquisitions, « qui sont des pièces essentielles », avaient « naturellement » été conservés. Il a par ailleurs déclaré que la défenderesse finance elle-même ses immeubles. f) Le 13 septembre 2018, sur réquisition des demandeurs, le président du tribunal a invité le Registre foncier de La Côte à produire l’acte de cession par lequel H.________ est devenu seul propriétaire des immeubles immatriculés sous [...] [...] de la Commune [...]. Ledit office s’est exécuté le 19 septembre 2018.</w:t>
      </w:r>
    </w:p>
    <w:p>
      <w:r>
        <w:t>- 14 - g) Les débats ont repris le 20 novembre 2018. Les demandeurs ont alors modifié une dernière fois leurs conclusions, en ce sens que le loyer initial de l’appartement soit fixé à 814 fr. 30 et que la garantie de loyer soit ramenée à 2’242 fr. 90, les montants à restituer devant être arrêtés à 22’011 fr. 20 pour l’appartement et à 2’560 fr. pour les places de parc, pour la période allant du 16 août 2017 au 30 novembre 2018, et, dès le 1er décembre 2018, à 1’375 fr. 70 par mois pour l’appartement et à 80 fr. par mois pour chaque place de parc. La défenderesse a soulevé l’exception de prescription et a conclu au rejet des conclusions modifiées ; elle a par ailleurs produit une liste d’annonces immobilières pour des appartements de 4 à 4,5 pièces situés [...], pour des loyers allant de 2’130 fr. à 2’850 fr., une étude statistique en allemand établie par Wüest Partner le 20 novembre 2018, selon laquelle le loyer médian [...] pour un appartement de 4 pièces s’élève à 260 fr. par m2 et par an, ainsi que des statistiques établies par le Département vaudois des finances et des relations extérieures, selon lesquelles le loyer mensuel net moyen des logements vaudois de 4 pièces était de 1'617 fr. (+/- 1.1%) en 2015 et de 1'633 fr. (+/- 1.1%) en 2016. En d roit : 1. Le principe de l'autorité de l'arrêt de renvoi du Tribunal fédéral, que prévoyait expressément l'art. 66 al. 1 aOJ (loi fédérale d'organisation judiciaire du 16 décembre 1943, dans sa version en vigueur jusqu'au 31 décembre 2006), est un principe juridique qui demeure applicable sous la LTF (loi sur le Tribunal fédéral du 17 juin 2005 ; RS 173.110) (ATF 135 III 334 consid. 2 et réf. cit. ; TF 4A_555/2015 du 18 mars 2016 consid. 2.2). En vertu de ce principe, l'autorité cantonale à laquelle une affaire est renvoyée est tenue de fonder sa nouvelle décision sur les considérants de droit de l'arrêt du Tribunal fédéral. Les considérants de l'arrêt de renvoi lient également les parties, en ce sens qu'elles ne peuvent plus faire valoir dans un nouveau recours fédéral</w:t>
      </w:r>
    </w:p>
    <w:p>
      <w:r>
        <w:t>- 15 - contre la nouvelle décision cantonale des moyens qui avaient été rejetés ou n'avaient pas été soulevés dans l'arrêt de renvoi (ATF 125 III 421 consid. 2a).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consid. 5.2 et réf. cit.).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