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WD09.042698 vom 16. Juli 2014</w:t>
      </w:r>
    </w:p>
    <w:p>
      <w:r>
        <w:t>VD Tribunal cantonal, 2014-07-16, FR</w:t>
      </w:r>
    </w:p>
    <w:p>
      <w:r>
        <w:rPr>
          <w:b/>
        </w:rPr>
        <w:t xml:space="preserve">Quelle: </w:t>
      </w:r>
      <w:r>
        <w:t>https://mcp.opencaselaw.ch/entscheid/vd_gerichte_WD09.042698</w:t>
      </w:r>
    </w:p>
    <w:p>
      <w:r>
        <w:t>FR: VD_GERICHTE WD09.042698 du 16 juillet 2014</w:t>
      </w:r>
    </w:p>
    <w:p>
      <w:r>
        <w:t>IT: VD_GERICHTE WD09.042698 del 16 luglio 2014</w:t>
      </w:r>
    </w:p>
    <w:p>
      <w:pPr>
        <w:pStyle w:val="Heading2"/>
      </w:pPr>
      <w:r>
        <w:t>Erwägungen</w:t>
      </w:r>
    </w:p>
    <w:p>
      <w:r>
        <w:rPr>
          <w:b/>
        </w:rPr>
        <w:t>E. 1</w:t>
      </w:r>
    </w:p>
    <w:p>
      <w:r>
        <w:t>a) Le recours est dirigé contre une décision par laquelle la justice de paix a maintenu le placement de l’enfant B.L.________ dans un foyer. Comme déjà relevé par la cour de céans dans son arrêt du 12 décembre 2013 rendu dans le cadre du recours formé à l’encontre de la décision initiale de placement, même si les premiers juges ont indiqué qu’ils faisaient application de l’art. 314b CC, qui traite à son alinéa 1er du placement d’un enfant dans une institution fermée ou dans un</w:t>
      </w:r>
    </w:p>
    <w:p>
      <w:r>
        <w:t>- 13 - établissement psychiatrique, ce n’est pas une telle mesure qui a été décidée. Le foyer [...] n’est en effet ni un établissement fermé, ni un établissement psychiatrique. Il s’est plutôt agi pour la justice de paix d’approuver une mesure qui avait été préconisée notamment par la tutrice d’alors. La décision initiale de placement s’apparentait ainsi à un consentement donné à un acte du curateur au sens de l’art. 416 al. 1 ch. 2 CC (approbation de la conclusion d’un contrat de longue durée relatif au placement de la personne concernée), disposition applicable aux mesures de protection des enfants par analogie en vertu de l’art. 314 al. 1 CC (cf. également Biderbost, CommFam, Protection de l’adulte, Berne 2013, n. 13 ad art. 416 CC, p. 588). Il faut en conséquence considérer que la décision présentement contestée par la recourante constitue un réexamen d’un consentement donné à un acte du curateur au sens de l’art. 416 al. 1 ch. 2 CC, le droit à un tel réexamen devant être discuté (infra c. 3a). b/aa)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w:t>
      </w:r>
    </w:p>
    <w:p>
      <w:r>
        <w:t>- 14 - exceptionnelles, elle peut aussi l'annuler et renvoyer l'affaire à l'autorité de protection, par exemple pour compléter l'état de fait sur des points essentiels (art. 450f CC et 318 al. 1 let. c ch. 2 CPC [Code de procédure civile du 19 décembre 2008, RS 272]).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bb) Suffisamment motivé et interjeté en temps utile par la mère de la mineure concernée, qui est une proche, le présent recours est recevable à la forme. Le recours étant manifestement mal fondé au vu des considérations qui seront développées ci-après, C.L.________ et le tuteur d’B.L.________ n’ont pas été invités à se déterminer (art. 312 al. 1 CPC, applicable par renvoi de l'art. 450f CC). L’autorité de protection a été consultée (cf. art. 450d al. 1 CC).</w:t>
      </w:r>
    </w:p>
    <w:p>
      <w:r>
        <w:rPr>
          <w:b/>
        </w:rPr>
        <w:t>E. 2</w:t>
      </w:r>
    </w:p>
    <w:p>
      <w:r>
        <w:t>Selon l’art. 314a al. 1 CC, l’enfant est entendu personnellement, de manière appropriée, par l’autorité de protection ou le tiers qui en a été chargé, à moins que son âge ou d’autres justes motifs ne s’y opposent. En l’espèce, cette règle a été respectée, puisque l’enfant</w:t>
      </w:r>
    </w:p>
    <w:p>
      <w:r>
        <w:t>- 15 - B.L.________ a été entendue par son tuteur avant qu’il dépose son rapport le 28 mars 2014 et par le juge de paix le 15 mai 2014.</w:t>
      </w:r>
    </w:p>
    <w:p>
      <w:r>
        <w:rPr>
          <w:b/>
        </w:rPr>
        <w:t>E. 3</w:t>
      </w:r>
    </w:p>
    <w:p>
      <w:r>
        <w:t>a) Comme relevé précédemment, la décision entreprise a été rendue dans le cadre d’un consentement à un acte du curateur au sens de l’art. 416 al. 1 ch. 2 CC. Il se pose ainsi la question de savoir s’il existe un droit au réexamen d’un consentement donné par l’autorité de protection à un acte qui, comme en l’espèce, a un effet dans la durée. Il faut répondre par la négative. En effet, on ne saurait faire une application analogique de l’art. 431 CC relatif au placement à des fins d’assistance – qui prévoit à son alinéa 1er que, dans les six mois qui suivent le placement, l’autorité de protection examine si les conditions du maintien de la mesure sont encore remplies et si l’institution est toujours appropriée –, dès lors que l’objet de l’art. 416 al. 1 ch. 2 CC est distinct et a trait aux placements proprement dits dans un home ou un foyer et, plus généralement, à toutes les conventions de prise en charge en vue de loger et d’aider la personne sous curatelle, respectivement sous tutelle (Biderbost, op. cit., n. 24 ad art. 416 CC, p. 593). De plus, l’art. 416 CC ne prévoit nullement qu’un consentement donné sur la base de cette disposition soit soumis à un quelconque réexamen ultérieur, périodique ou non. b) Quoi qu’il en soit, contrairement à ce que soutient la recourante en s’opposant au placement de sa fille en foyer et en demandant que celle-ci revienne vivre à son domicile, le maintien du placement d’B.L.________ en foyer est en l’espèce justifié. En effet, comme l’ont relevé l’ensemble des intervenants dans leurs écritures et leurs déclarations, B.L.________ se trouve prise dans un conflit de loyauté très important et fait l’objet d’une aliénation parentale de la part de sa mère, qui disqualifie le père. Il ressort toutefois du rapport du tuteur du 28 mars 2014 que le placement dont elle bénéficie la préserve en partie de cette situation et de l’atmosphère de colère et de rejet du père dans laquelle vit</w:t>
      </w:r>
    </w:p>
    <w:p>
      <w:r>
        <w:t>- 16 - la recourante. Selon le tuteur, celle-ci ne semble en effet pas avoir évolué dans sa représentation du rôle de père de C.L.________ et l’intensité du conflit parental est identique à celle qui a précédé le placement de l’enfant en foyer. La recourante montre notamment toujours une grande fragilité psychologique et transmet une certaine insécurité à sa fille, qui est parfois amenée à lui réexpliquer le cadre et à la rassurer. L’intervention d’un tiers, soit le foyer, a permis à B.L.________ de ne plus être contrainte de reprendre à son compte les scénarios et reproches de sa mère pour éviter l’exercice du droit de visite entre le père et la fille, celle-ci s’autorisant désormais à profiter des week-ends et à se réjouir des visites chez son père. L’exercice du droit de visite de C.L.________ semble d’ailleurs se dérouler positivement tant pour la fille que le père. Ainsi, il apparaît que la situation s’améliore, mais elle demeure néanmoins fragile, en particulier au vu du comportement de la recourante. Celle-ci ne semble toujours pas être en mesure d’offrir à sa fille un cadre lui permettant de se développer harmonieusement, en particulier sur le plan psychique. A l’instar des premiers juges, on peut douter de la capacité de la mère à respecter, voire à encourager, le droit de visite du père et à ne plus mêler B.L.________ aux différends parentaux, la recourante ayant déjà par le passé pris de tels engagements sans être en mesure de les tenir. En conséquence, le placement d’B.L.________ demeure, en l’état, le seul moyen adéquat permettant de sauvegarder les intérêts de l’enfant, celle- ci ayant d’ailleurs elle-même exprimé le souhait de prolonger son séjour en foyer jusqu’en juillet 2015, pour éviter de devoir servir d’« intermédiaire » entre ses parents. La décision entreprise ne prête ainsi pas le flanc à la critique et le recours se révèle mal fondé. Si les termes de « mesure de placement à des fins d’assistance de mineur » utilisés au chiffre I du dispositif de cette décision se révèlent inadéquats compte tenu du fait que le placement de la mineure concernée en foyer n’a pas été prononcé dans le cadre d’une telle mesure, mais dans celui du consentement à un acte du tuteur au sens de l’art. 416 al. 1 ch. 2 CC, il n’y a cependant pas lieu de procéder à une réforme d’office dudit chiffre, dès lors que le résultat de la décision, soit le maintien du placement d’B.L.________ en foyer, est, dans les faits,</w:t>
      </w:r>
    </w:p>
    <w:p>
      <w:r>
        <w:t>- 17 - similaire. Cas échéant, il appartiendra à la justice de paix de ne plus considérer qu’B.L.________ fait l’objet d’un placement au sens des art. 426 ss CC au motif qu’elle réside au Foyer [...].</w:t>
      </w:r>
    </w:p>
    <w:p>
      <w:r>
        <w:rPr>
          <w:b/>
        </w:rPr>
        <w:t>E. 4</w:t>
      </w:r>
    </w:p>
    <w:p>
      <w:r>
        <w:t>En conclusion, le recours doit être rejeté et la décision entreprise confirmée. Le présent arrêt peut être rendu sans frais judiciaires (art. 74a al. 4 TFJC [tarif du 28 septembre 2010 des frais judiciaires civils, RSV 270.11.5]). La recourante succombant et C.L.________ n’ayant pas été invité à se déterminer, il n’y a pas lieu d’allouer de dépens de deuxième instance. Par ces motifs, la Chambre des curatelles du Tribunal cantonal, statuant à huis clos, prononce : I. Le recours est rejeté. II. La décision est confirmée. III. L’arrêt est rendu sans frais. IV. L'arrêt motivé est exécutoire. La présidente : La greffière :</w:t>
      </w:r>
    </w:p>
    <w:p>
      <w:r>
        <w:t>- 18 - Du 16 juillet 2014 Le dispositif de l'arrêt qui précède est communiqué par écrit aux intéressés. La greffière : Du L'arrêt qui précède, dont la rédaction a été approuvée à huis clos, est notifié à : - Mme A.L.________, - Me Philippe Chaulmontet (pour C.L.________), - M. R.________, chef d’unité auprès de l’Office des curatelles et tutelles professionnelles, et communiqué à : - Justice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