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WA20.011600 vom 4. Mai 2020</w:t>
      </w:r>
    </w:p>
    <w:p>
      <w:r>
        <w:t>VD Tribunal cantonal, 2020-05-04, FR</w:t>
      </w:r>
    </w:p>
    <w:p>
      <w:r>
        <w:rPr>
          <w:b/>
        </w:rPr>
        <w:t xml:space="preserve">Quelle: </w:t>
      </w:r>
      <w:r>
        <w:t>https://mcp.opencaselaw.ch/entscheid/vd_gerichte_WA20.011600</w:t>
      </w:r>
    </w:p>
    <w:p>
      <w:r>
        <w:t>FR: VD_GERICHTE WA20.011600 du 4 mai 2020</w:t>
      </w:r>
    </w:p>
    <w:p>
      <w:r>
        <w:t>IT: VD_GERICHTE WA20.011600 del 4 maggio 2020</w:t>
      </w:r>
    </w:p>
    <w:p>
      <w:pPr>
        <w:pStyle w:val="Heading2"/>
      </w:pPr>
      <w:r>
        <w:t>Erwägungen</w:t>
      </w:r>
    </w:p>
    <w:p>
      <w:r>
        <w:rPr>
          <w:b/>
        </w:rPr>
        <w:t>E. 1</w:t>
      </w:r>
    </w:p>
    <w:p>
      <w:r>
        <w:t>Par courrier du 4 mars 2020, [...], assistante sociale auprès de la Direction des soins, Service social – Maternité du CHUV, a informé la justice de paix qu’A.W.________, née le [...] 2003, était enceinte de son premier enfant et que le terme était prévu pour le 20 mars 2020. Au vu de la minorité de la future mère, l’assistante sociale a demandé à ce qu’un tuteur SCTP soit désigné en faveur de l’enfant à naître.</w:t>
      </w:r>
    </w:p>
    <w:p>
      <w:r>
        <w:rPr>
          <w:b/>
        </w:rPr>
        <w:t>E. 1.1</w:t>
      </w:r>
    </w:p>
    <w:p>
      <w:r>
        <w:t>Le recours est dirigé contre une décision de la justice de paix instituant une tutelle en faveur de l’enfant B.W.________ en application de l’art. 296 al. 3 et 327a CC. Contre une telle décision, le recours de l'art. 450 CC est ouvert à la Chambre des curatelles (art. 8 LVPAE [Loi du 29 mai 2012 d'application du droit fédéral de la protection de l'adulte et de l'enfant ; BLV 211.255] et 76 al. 2 LOJV [Loi d'organisation judiciaire du 12 décembre 1979;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les exigences de motivation ne devant cependant pas être trop élevées (Droese/Steck, Basler Kommentar, Zivilgesetzbuch I, Art. 1-456 ZGB, 6e éd., Bâle 2018 [ci- après : BK-ZGB I], n. 42 ad art. 450 CC, p. 2825). Conformément à l'art. 450d CC, la Chambre des curatelles donne à la justice de paix (art. 4 al. 1 LVPAE) l'occasion de prendre position (al. 1), cette autorité pouvant, au lieu de prendre position, reconsidérer sa décision (al. 2).</w:t>
      </w:r>
    </w:p>
    <w:p>
      <w:r>
        <w:rPr>
          <w:b/>
        </w:rPr>
        <w:t>E. 1.2</w:t>
      </w:r>
    </w:p>
    <w:p>
      <w:r>
        <w:t>Le présent recours interjeté en temps utile par la mère mineure de l’enfant partie à la procédure et suffisamment motivé, est recevable.</w:t>
      </w:r>
    </w:p>
    <w:p>
      <w:r>
        <w:t>- 6 - 2.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3.</w:t>
      </w:r>
    </w:p>
    <w:p>
      <w:r>
        <w:rPr>
          <w:b/>
        </w:rPr>
        <w:t>E. 2</w:t>
      </w:r>
    </w:p>
    <w:p>
      <w:r>
        <w:t>Par ordonnance de mesures superprovisionnelles du 10 mars 2020, la Juge de paix du district de Lausanne (ci-après : la juge de paix) a institué une tutelle provisoire au sens des art. 445 et 327a CC en faveur de l’enfant à naître d’A.W.________ (I), a nommé en qualité de tutrice provisoire [...], assistante sociale auprès du SCTP, et dit qu’en cas d’absence de la tutrice désignée personnellement, ledit service assurerait</w:t>
      </w:r>
    </w:p>
    <w:p>
      <w:r>
        <w:t>- 4 - son remplacement en attendant son retour ou la désignation d'un nouveau curateur (II), a dit que la tutrice exercerait les tâches suivantes, soit veiller à ce que l’enfant reçoive les soins personnels, l’entretien et l’éducation nécessaire, assurer sa représentation légale et gérer ses biens avec diligence (III), a dit que l’ordonnance était immédiatement exécutoire (IV) et a dit que la décision serait confirmée à huis clos dans les meilleurs délais (V).</w:t>
      </w:r>
    </w:p>
    <w:p>
      <w:r>
        <w:rPr>
          <w:b/>
        </w:rPr>
        <w:t>E. 3</w:t>
      </w:r>
    </w:p>
    <w:p>
      <w:r>
        <w:t>Le 12 mars 2020, la décision litigieuse a été rendue. Le 16 mars 2020, B.W.________ est née.</w:t>
      </w:r>
    </w:p>
    <w:p>
      <w:r>
        <w:rPr>
          <w:b/>
        </w:rPr>
        <w:t>E. 3.1</w:t>
      </w:r>
    </w:p>
    <w:p>
      <w:r>
        <w:t>Il n'est en l’espèce pas contesté qu'un tuteur doive être désigné à l'enfant B.W.________, née le [...] 2020, compte tenu de la minorité de la mère (art. 296 al. 3 et 327a CC). Est ainsi seule litigieuse la personne de la tutrice.</w:t>
      </w:r>
    </w:p>
    <w:p>
      <w:r>
        <w:rPr>
          <w:b/>
        </w:rPr>
        <w:t>E. 3.2</w:t>
      </w:r>
    </w:p>
    <w:p>
      <w:r>
        <w:t>Sous réserve de justes motifs relatifs au bien de l'enfant, l'autorité de protection tiendra notamment compte des propres souhaits de l'enfant capable de discernement (respectivement de son opposition) ou de ses proches (art. 401 CC par analogie). L'intérêt de l'enfant doit toujours l'emporter et l'autorité prendra garde à ne pas confier le mandat à une personne qui ne jouit pas d'une indépendance suffisante par rapport au parent privé de l'autorité parentale (Meier/Stettler, Droit de la filiation, 6e éd., Genève/Zurich/Bâle 2019, n. 803 p. 536). Selon l'art. 400 al. 1 CC, l'autorité de protection de l'adulte nomme curateur une personne physique qui possède les aptitudes et les connaissances nécessaires à l'accomplissement des tâches qui lui seront</w:t>
      </w:r>
    </w:p>
    <w:p>
      <w:r>
        <w:t>- 7 -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réf. cit.).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Indépendamment de la disponibilité du curateur (Reusser, BK-ZGB I,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ss,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w:t>
      </w:r>
    </w:p>
    <w:p>
      <w:r>
        <w:t>- 8 -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Commentaire du droit de la famille [ci-après : CommFam], Protection de l'adulte, Berne 2013, nn. 12 à 16 ad art. 400 CC, pp. 510 et 511). L'autorité de protection de l'adulte doit en outre veiller à ce qu'il n'y ait pas de conflit d'intérêts entre la personne à protéger et celle qui est pressentie comme curateur (ATF 140 III 1 consid. 4.2 ; Reusser, BK-ZGB I, op. cit., n. 14 ad art. 401 CC, p. 2424 ; Häfeli, CommFam, n. 2 ad art. 401 CC, p. 519 ; TF 5A_904/2014 du 17 mars 2015 consid. 2.1). Un risque de conflit d'intérêts n'existe pas du seul fait que la personne proposée soit un membre de la famille ou un proche et que d'autres membres de la famille s'opposent à cette désignation, invoquant le fait qu'il serait préférable de nommer un tiers extérieur à la famille. Il y a conflit d'intérêts entre le curateur et la personne concernée lorsque ceux-ci ne sont plus parallèles et qu'il existe un risque abstrait que le représentant légal fasse passer ses intérêts avant ceux de la personne sous curatelle (Meier, Droit de la protection de l'adulte, Genève/Zurich/Bâle 2016, n. 976, p. 468 et les réf. cit. ; Steinauer/Fountoulakis, Droit des personnes physiques et de la protection de l'adulte, Berne 2014, n. 1239, p. 550). En particulier, il existe un conflit d'intérêt direct lorsque les intérêts de la personne représentée se heurtent directement à ceux de son curateur (Steinauer/Fountoulakis, op. cit., n. 1241, pp. 550 et 551).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w:t>
      </w:r>
    </w:p>
    <w:p>
      <w:r>
        <w:t>- 9 - expressément la prise en compte de ces souhaits aux aptitudes de la personne choisie (TF 5A_228/2018 du 30 avril 2018 consid. 4.2.1 ; TF 5A_904/2014 du 17 mars 2015 consid. 2.2 ; Meier, op. cit., n. 959, p. 460 ; Droit de la protection de l'adulte, Guide pratique COPMA, Zurich/St Gall 2012, n. 6.21, p. 186). Les souhaits de la famille ou d'autres proches de la personne concernée sont aussi pris en considération (art. 401 al. 2 CC), en particulier si l'intéressé n'est pas en mesure de se prononcer lui-même sur l'identité du curateur.</w:t>
      </w:r>
    </w:p>
    <w:p>
      <w:r>
        <w:rPr>
          <w:b/>
        </w:rPr>
        <w:t>E. 3.3</w:t>
      </w:r>
    </w:p>
    <w:p>
      <w:r>
        <w:t>En l'espèce, la recourante dit avoir une confiance totale en sa sœur [...] qui est assistante sociale et qui, grâce à sa formation, disposerait des connaissances lui permettant d'effectuer toutes les démarches nécessaires pour l’enfant. Pour sa part, [...] allègue se porter volontaire pour devenir tutrice de l'enfant en toute connaissance des conséquences de sa tâche et des responsabilités qui en découlent. Elle dit être consciente qu’une confusion des rôles pourrait apparaître dès lors que l’enfant B.W.________ est également sa nièce, mais considère être en mesure d’agir pour le bien-être de celle-ci. Elle ajoute être disposée à suivre le cas échéant une formation complémentaire ou à passer un examen prouvant son aptitude à assumer cette fonction tout en gardant son rôle de tante. Il découle de ce qui précède que la sœur de la recourante semble disposer, par sa formation d'assistante sociale et par le fait qu’elle soit également mère, des compétences sociales et personnelles suffisantes pour assumer un tel mandat. Si le SCTP expose de manière pertinente les potentiels risques relatifs à la confusion des rôles, ces considérations restent toutefois générales et l’intéressée paraît pleinement consciente des enjeux. Ainsi, compte tenu du souhait de la recourante et des qualités dont semble disposer [...], il convient d’entendre cette dernière afin d’évaluer la possibilité de la désigner tutrice de l’enfant. L’ordonnance de mesures superprovisionnelles du 10 mars 2020 restera en vigueur dans l’intervalle.</w:t>
      </w:r>
    </w:p>
    <w:p>
      <w:r>
        <w:t>- 10 - Quant à la question de l’établissement de la filiation paternelle qui pourrait être une source potentielle de conflit au sein de la famille selon la tutrice, la possibilité de confier le mandat à un avocat demeure (art. 308 al. 2 CC).</w:t>
      </w:r>
    </w:p>
    <w:p>
      <w:r>
        <w:rPr>
          <w:b/>
        </w:rPr>
        <w:t>E. 4</w:t>
      </w:r>
    </w:p>
    <w:p>
      <w:r>
        <w:t>En conclusion, le recours doit être admis et la décision annulée, la cause étant renvoyée à la justice de paix pour nouvelle instruction et décision dans le sens des considérants. Le présent arrêt est rendu sans frais judiciaires de deuxième instance (art. 74a al. 4 TFJC [tarif des frais judiciaires civils du 28 septembre 2010 ; BLV 270.11.5]. Par ces motifs, la Chambre des curatelles du Tribunal cantonal, statuant à huis clos, prononce : I. Le recours est admis. II. La décision est annulée. III. La cause est renvoyée à la Justice de paix du district de Lausanne pour nouvelle instruction et décision dans le sens des considérants. IV. L’arrêt est rendu sans frais judiciaires de deuxième instance. V. L'arrêt est exécutoire. Le président : La greffière :</w:t>
      </w:r>
    </w:p>
    <w:p>
      <w:r>
        <w:t>- 11 - Du L'arrêt qui précède, dont la rédaction a été approuvée à huis clos, est notifié à : - Mme A.W.________, - M. [...], - Mme [...], - Mme [...], tutrice SCTP,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