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VJ25.061396 vom 13. August 2025</w:t>
      </w:r>
    </w:p>
    <w:p>
      <w:r>
        <w:t>VD Tribunal cantonal, 2025-08-13, FR</w:t>
      </w:r>
    </w:p>
    <w:p>
      <w:r>
        <w:rPr>
          <w:b/>
        </w:rPr>
        <w:t xml:space="preserve">Quelle: </w:t>
      </w:r>
      <w:r>
        <w:t>https://mcp.opencaselaw.ch/entscheid/vd_gerichte_VJ25.061396</w:t>
      </w:r>
    </w:p>
    <w:p>
      <w:r>
        <w:t>FR: VD_GERICHTE VJ25.061396 du 13 août 2025</w:t>
      </w:r>
    </w:p>
    <w:p>
      <w:r>
        <w:t>IT: VD_GERICHTE VJ25.061396 del 13 agosto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découle des considérations qui précèdent que Me G.________ n’a pas violé l’art. 12 let. a LLCA. Les frais de la cause, comprenant un émolument de 1'000 fr. et les frais d’enquête par 1'336 fr., sont arrêtés à 2'336 francs. Compte tenu de l’issue de la cause, ils seront laissés à la charge de l’Etat. CAVJ01</w:t>
      </w:r>
    </w:p>
    <w:p>
      <w:r>
        <w:t>- 24 - Par ces motifs, la Chambre des avocats, statuant à huis clos : I. Constate que l’avocat G.________ n’a pas violé l’art. 12 let. a LLCA. II. Dit que les frais de la cause, par 2'336 fr. (deux mille trois cent trente-six francs), sont laissés à la charge de l’Etat. Le président : Le greffier : Du La décision qui précède, lue et approuvée à huis clos, est notifiée à : - Me Regina Andrade Ortuno (pour Me G.________). La présente décision peut faire l'objet d'un recours au Tribunal cantonal dans un délai de trente jours dès sa notification. Le recours est exercé conformément à la loi sur la procédure administrative (art. 65 LPAv). Cette décision est également communiquée à : - Mme A.________. CAVJ01</w:t>
      </w:r>
    </w:p>
    <w:p>
      <w:r>
        <w:t>- 25 - Le greffier : CAVJ01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