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UD23.025317 vom 13. Juni 2024</w:t>
      </w:r>
    </w:p>
    <w:p>
      <w:r>
        <w:t>VD Tribunal cantonal, 2024-06-13, FR</w:t>
      </w:r>
    </w:p>
    <w:p>
      <w:r>
        <w:rPr>
          <w:b/>
        </w:rPr>
        <w:t xml:space="preserve">Quelle: </w:t>
      </w:r>
      <w:r>
        <w:t>https://mcp.opencaselaw.ch/entscheid/vd_gerichte_UD23.025317</w:t>
      </w:r>
    </w:p>
    <w:p>
      <w:r>
        <w:t>FR: VD_GERICHTE UD23.025317 du 13 juin 2024</w:t>
      </w:r>
    </w:p>
    <w:p>
      <w:r>
        <w:t>IT: VD_GERICHTE UD23.025317 del 13 giugno 2024</w:t>
      </w:r>
    </w:p>
    <w:p>
      <w:pPr>
        <w:pStyle w:val="Heading2"/>
      </w:pPr>
      <w:r>
        <w:t>Erwägungen</w:t>
      </w:r>
    </w:p>
    <w:p>
      <w:r>
        <w:rPr>
          <w:b/>
        </w:rPr>
        <w:t>E. 12</w:t>
      </w:r>
    </w:p>
    <w:p>
      <w:r>
        <w:t>juillet 2023 pour ce qui avait trait à son père, d’autant qu’elle ne l’avait jamais rencontré. Dans une écriture du 17 février 2024, X.________ a relevé qu’elle n’avait pas été interpellée s’agissant du manque de soutien de A.J.________ par ses proches, alors qu’elle avait la pleine capacité de discernement, tout comme son père et sa sœur. Elle a fait part de son désir d’être consultée en tant que proche afin de pouvoir discuter avec les différents médecins du meilleur traitement pour sa mère et avec le personnel du CMS qui se rendait à domicile. Elle a confirmé que ses parents et elle-même communiquaient régulièrement et étaient proches. Elle a indiqué que depuis la mise en œuvre de la curatelle, A.J.________ était très inquiète et se méfiait énormément de l’intrusion du curateur dans ses affaires. Elle a affirmé que les affaires financières de l’intéressée étaient en ordre, qu’elle ne rencontrait aucune difficulté à gérer sa maison et ses tâches quotidiennes et qu’elle n’avait pas besoin d’aide. Elle a mentionné qu’en avril 2023, c’est elle qui avait convaincu son père de venir chez elle à [...] afin qu’il ne se retrouve pas seul durant l’hospitalisation de sa mère. Dans un écrit du même jour, [...], époux de X.________, a déclaré qu’il était choqué de la description qui était faite de B.J.________, qui ne correspondait en rien à la personne qu’il connaissait depuis des</w:t>
      </w:r>
    </w:p>
    <w:p>
      <w:r>
        <w:t>- 12 - années et émanait d’individus qui, jusqu’à preuve du contraire, ne l’avaient jamais rencontré. Il a affirmé que face au silence du personnel médical, qui ne l’écoutait pas, l’ignorait et ne lui disait rien, son beau-père n’avait d’autre moyen de marquer sa frustration et son exaspération que par la colère verbale. Il a ajouté que X.________ et B.________ soutenaient leurs parents et étaient présentes pour eux. Également le 17 février 2024, [...], époux de B.________, a attesté que B.J.________ était toujours présent pour sa famille et s’impliquait dans la gestion de la maladie de son épouse, tout comme ses filles. Il a mentionné qu’il voyait son beau-père mis à l’écart lorsqu’il signalait une détérioration de l’état de santé de A.J.________ qui nécessitait une intervention et que cet isolement était difficile à vivre et suscitait de l’incompréhension. Il a relevé que depuis qu’il connaissait B.J.________, il ne l’avait jamais vu être agressif à l’encontre de qui que ce soit « et certainement pas envers sa femme ». Dans une écriture du 18 février 2024, B.________ a constaté que des affirmations graves, que rien ne corroborait, étaient portées contre son père. Elle a affirmé que malgré les difficultés engendrées par la maladie de sa mère, ses parents s’étaient soutenus mutuellement et relevaient les défis ensemble depuis plus de soixante ans. Elle a indiqué que sa sœur et elle-même étaient impliquées aux côtés de B.J.________, qu’ils s’encourageaient les uns les autres et qu’ils avaient toujours cherché ensemble des solutions pour accompagner au mieux l’intéressée. Elle a déclaré que depuis la première hospitalisation de A.J.________, la seule difficulté était l’accès à un suivi médical stable et à une médication adéquate. Elle a demandé la levée de la curatelle instituée en faveur de sa mère afin qu’elle retrouve son indépendance « qui lui fait beaucoup de bien » et le retrait des accusations faites à l’encontre de son père « en leur totalité dans les meilleurs délais ». 2. Selon l’extrait du registre des poursuites de l’Office des poursuites du district de Morges du 23 mai 2023, A.J.________ ne fait l’objet d’aucune poursuite, ni d’aucun acte de défaut de biens.</w:t>
      </w:r>
    </w:p>
    <w:p>
      <w:r>
        <w:t>- 13 - Le 26 mai 2023, l’Administration cantonale des impôts a adressé à la justice de paix la déclaration d’impôt 2021 définitive de A.J.________ et B.J.________. En d roit : 1. 1.1 Le recours est dirigé contre une décision de la justice de paix instituant une curatelle de représentation avec limitation de l’exercice des droits civils et de gestion avec privation de la faculté d'accéder à certains biens en faveur de A.J.________.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t>- 14 - 1.2.2 Les personnes parties à la procédure, les proches de la personne concernée et les personnes qui ont un intérêt juridique à l'annulation ou à la modification de la décision attaquée ont qualité pour recourir (art. 450 al. 2 CC). On entend par « proche » au sens de l’art. 450 al. 2 ch. 2 CC, une personne qui connaît bien la personne concernée et qui, grâce à ses qualités et à ses rapports avec cette dernière, apparaît apte à défendre ses intérêts (TF 5A_365/2022 du 3 mai 2023 consid. 4.3.3.1 ; TF 5A 668/2022 du 16 mars 2023 consid. 4.2). Peuvent être considérées comme « proches » des personnes liées par la parenté à la personne concernée qui en ont pris soin et se sont occupées d'elle (TF 5A_112/2015 du 7 décembre 2015 consid. 2.5.1.2). La qualité pour recourir du proche présuppose que celui-ci fasse valoir l'intérêt – de fait ou de droit – de la personne protégée, et non son intérêt (par ex. patrimonial ou successoral) propre ou l'intérêt de tiers (Meier, Droit de la protection de l'adulte, 2e éd., Genève/Zurich 2022,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5A_668/2022 du 16 mars 2023 consid. 4.2 ; TF 5A_322/2019 du 8 juillet 2020 consid. 2.3.3). 1.2.3 L’art. 446 al. 1 CC prévoit que l'autorité de protection établit les faits d'office. L’art. 229 al. 3 CPC étant applicable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t>- 15 - 1.2.4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 1.3 Motivé et interjeté en temps utile par la fille de la personne concernée, à qui la qualité de proche peut être reconnue, le présent recours est recevable. Il en va de même des pièces produites en deuxième instance, si tant est qu’elles ne figurent pas déjà au dossier. L’autorité de protection a été consultée conformément à l’art. 450d al. 1 CC ; la personne concernée, son époux et le curateur ont été invités à se déterminer, ce qu’ont fait les deux premiers, mais pas le troisième. 2. 2.1 La Chambre des curatelles, qui n’est pas tenue par les moyens et les conclusions des parties, examine d’office si la décision n’est pas affectée de vices d’ordre formel. Elle ne doit annuler une décision que s’il</w:t>
      </w:r>
    </w:p>
    <w:p>
      <w:r>
        <w:t>- 16 -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A.J.________ a été entendue par la juge de paix lors de son audience du 2 juin 2023, puis par la justice de paix en corps le 30 novembre 2023, de sorte que son droit d’être entendue a été respecté. La décision entreprise est donc formellement correcte et peut être examinée sur le fond. 3. 3.1 A titre de mesure d’instruction, X.________ demande son audition, ainsi que celle de la personne concernée en qualité de parties. Il n’y a pas d’obligation de tenir une audience, ni de droit à ce que les parties soient entendues personnellement (ATF 142 I 188, JdT 2017 II 246). Il n’y a pas lieu de donner suite à cette réquisition, A.J.________ s’étant exprimée lors des audiences respectivement de la juge de paix du 2 juin 2023 et de la justice de paix du 30 novembre 2023 et X.________ ayant pu faire valoir ses moyens dans les écritures déposées dans le cadre de son recours.</w:t>
      </w:r>
    </w:p>
    <w:p>
      <w:r>
        <w:t>- 17 - 3.2 La recourante requiert également l’audition de son père et de sa sœur en qualité de témoins. Les éléments d’information étant suffisants pour permettre à l’autorité de recours de statuer sur le présent recours, cette mesure n’a pas à être ordonnée. 4. 4.1 La recourante conteste la curatelle instituée en faveur de sa mère et demande sa levée. 4.1.1. Elle invoque une constatation fausse et incomplète des faits pertinents. Elle reproche aux premiers juges d’avoir retenu que A.J.________ rencontrait des difficultés avec son époux, citant les passages de la décision attaquée et de l’expertise qu’elle considère erronés. Elle relève que son père est un homme de 81 ans qui tente de gérer au mieux la maladie de son épouse depuis de nombreuses années. Elle affirme que les allégations le concernant sont des ouï-dire, qui n'ont pas été directement constatés ou vérifiés, que ce soit par la Dre K.________, qui n’a jamais rencontré B.J.________, par les experts, qui se sont basés sur les dires de la médecin précitée, ou par la justice de paix, qui s’est entretenue avec la Dre K.________ et n’a pas entendu son père. Elle ajoute que B.J.________ n'a jamais eu l'occasion de s'exprimer sur la maladie de son épouse, d’expliquer comment elle était gérée depuis plus de quarante ans, ainsi que d’exposer la dynamique du couple et ce qui pourrait aider A.J.________. La recourante fait également grief aux premiers juges d’avoir considéré que la personne concernée n’avait pas de proche susceptible de lui apporter de l’aide dans la gestion de ses affaires administratives et financières, ne prenant ainsi pas en compte son époux et ses filles. Elle constate que la justice de paix n'a pas cherché à savoir quel soutien la</w:t>
      </w:r>
    </w:p>
    <w:p>
      <w:r>
        <w:t>- 18 - famille de A.J.________ lui apportait. Elle estime qu’en vertu de la maxime inquisitoire, cette autorité n’aurait pas dû se contenter de simples conjectures, mais effectuer des investigations. La recourante souligne encore que la décision attaquée mentionne l’arrêt du traitement antipsychotique de l’intéressée depuis juin 2023, mais ne prend pas en compte le fait que si le traitement est pris de manière correcte, une mesure de curatelle n’est pas nécessaire. Enfin, la recourante relève que les premiers juges retiennent que les troubles cognitifs de A.J.________ qui se péjorent pourraient nuire à la sauvegarde de ses biens, notamment immobiliers, sans toutefois avoir cherché à savoir quels étaient ces biens. Elle déclare que si tel avait été le cas, ils auraient constaté que sa mère ne possède pas de biens immobiliers, mais dispose uniquement d’un droit d’usufruit, conjointement avec son époux, sur l’immeuble dont ses filles sont nues-propriétaires et qu’elle ne peut dès lors en disposer seule. Elle ajoute que A.J.________ a un revenu modeste constitué de ses rentes AVS et 2e pilier. Elle affirme qu’il n’y a ainsi pas de risque de dilapidation de la fortune de sa mère ou de mise en danger de ses biens. 4.1.2 La recourante invoque également une violation des principes de subsidiarité et de proportionnalité. 4.2 4.2.1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w:t>
      </w:r>
    </w:p>
    <w:p>
      <w:r>
        <w:t>- 19 -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(TF 5A_374/2018 du 25 juin 2018 consid. 4.2.1).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disposition permet d'apporter à la personne concernée l'aide dont elle a besoin dans des cas où l'état de faiblesse ne peut être attribué de manière claire à une déficience mentale ou à un trouble psychique (Biderbost/Henkel, Basler Kommentar, n. 14 ad art. 390 CC, p. 2419).</w:t>
      </w:r>
    </w:p>
    <w:p>
      <w:r>
        <w:t>- 20 -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4.2.2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w:t>
      </w:r>
    </w:p>
    <w:p>
      <w:r>
        <w:rPr>
          <w:b/>
        </w:rPr>
        <w:t>E. 15</w:t>
      </w:r>
    </w:p>
    <w:p>
      <w:r>
        <w:t>mai 2018 consid. 3.1 et les références citées). En bref, l’autorité de protection de l’adulte doit suivre le principe suivant : « assistance étatique autant que besoin est, et intervention étatique aussi rare que possible ».</w:t>
      </w:r>
    </w:p>
    <w:p>
      <w:r>
        <w:t>- 21 - Cela s’applique également à l’institution d’une curatelle de représentation selon l’art. 394 CC (ATF 140 III 49 précité). 4.2.3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Basler Kommentar, n. 31 ad art. 394 CC, p. 2460 ; Meier, CommFam, n. 12 ad art. 395 CC, p. 453). S'agissant des actes touchés par la restriction des droits civils, la mesure instituée peut être assimilée à une curatelle de portée générale (Meier, CommFam, n. 33 ad art. 394 CC, p. 444).</w:t>
      </w:r>
    </w:p>
    <w:p>
      <w:r>
        <w:t>- 22 - Les motifs d'une limitation de l'exercice des droits civils doivent être indiqués dans les considérants de la décision et la restriction doit figurer dans le dispositif de la décision, qui en précisera l'étendue (Guide pratique COPMA 2012, n. 5.93, p. 174). 4.2.4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w:t>
      </w:r>
    </w:p>
    <w:p>
      <w:r>
        <w:t>- 23 -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 4.2.5 Aux termes de l'art. 374 CC,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(al. 1). Le pourvoir de représentation porte : sur tous les actes juridiques habituellement nécessaires pour satisfaire les besoins de la personne incapable de discernement ; sur l'administration ordinaire de ses revenus et de ses autres biens ; si nécessaire, sur le droit de prendre connaissance de sa correspondance et de la liquider (al. 2). Pour les actes juridiques relevant de l'administration extraordinaire des biens, le conjoint ou le partenaire enregistré doit requérir le consentement de l'autorité de protection de l'adulte (al. 3). L'époux d'une personne devenue incapable de discernement peut, sur la base de la disposition précitée, agir au nom de celle-ci pour lui assurer l'assistance personnelle dont elle a besoin et procéder à l'administration ordinaire de son patrimoine. Le pouvoir de représentation des art. 374 ss CC suppose que le conjoint soit incapable de discernement. Le représentant et le représenté doivent en outre former, au moment de l'incapacité de discernement, une vraie communauté de vie liée par un mariage. Enfin, le pouvoir de représentation du conjoint est exclu lorsqu'un mandat pour cause d'inaptitude ou une curatelle existante porte sur les actes visés, ou lorsque l'époux frappé d'une incapacité de discernement a, au préalable, exclu la représentation par son conjoint (Steinauer/Fountoulakis, Droit des personnes physiques et de la protection</w:t>
      </w:r>
    </w:p>
    <w:p>
      <w:r>
        <w:t>- 24 - de l'adulte, Berne 2014, n. 950, p. 416). Le représentant légal doit avoir l'exercice des droits civils et ne pas être lui-même sous curatelle (Steinauer/Fountoulakis, op. cit., n. 959, p. 420). Le but des art. 374 ss CC est de permettre à la personne incapable de discernement de continuer à avoir des rapports juridiques par l'intermédiaire de son conjoint ou de son partenaire enregistré. L'art. 374 CC distingue entre l'administration ordinaire et l'administration extraordinaire des revenus et autres biens de l'incapable de discernement. La première appartient au représentant sans que l'accord de l'autorité de protection de l'adulte ne soit requis, alors que la seconde nécessite un tel accord. L'administration ordinaire comprend les actes de moindre importance économique et qui ne font pas courir de risques particuliers au représenté, tels que le règlement d'une dette échue, les réparations d'entretien courantes d'une chose, l'aliénation ou l'acquisition de biens de peu de valeur ou le réinvestissement de titres appartenant à la même catégorie de risque. Par ailleurs, s’agissant des actes juridiques habituellement nécessaires pour satisfaire les besoins de la personne incapable de discernement, le niveau de vie adopté jusque-là sert de point de référence, les besoins découlant de l’état d’incapacité de discernement du représenté pouvant toutefois contribuer à l’augmenter (Leuba, CommFam, n. 40 ad art. 374 CC, p. 246 et les références citées). Le représentant peut conclure ces actes seul au nom et pour le compte du représenté incapable de discernement (cf. art. 374 al. 2 ch. 1 et 2 CC). L'administration extraordinaire des biens comprend les actes économiquement plus importants. On comptera parmi ces derniers tous les actes mentionnés à l'art. 416 al. 1 CC, auxquels on peut notamment ajouter l'acquisition ou la vente d'objets de valeur, tels que des tableaux, des collections de timbres etc. Le pouvoir de représentation légal s'étend aussi aux actes relevant de l'administration extraordinaire. Ces actes ne sont toutefois valables que si l'autorité de protection y a donné son accord (art. 374 al. 3 CC). Il appartient au représentant d'informer l'autorité de l'acte en question et de demander son accord (Steinauer/Fountoulakis, op. cit., n. 972 ss, p. 426 ss).</w:t>
      </w:r>
    </w:p>
    <w:p>
      <w:r>
        <w:t>- 25 - 4.3 4.3.1 En l’espèce, il ressort du dossier que A.J.________ souffre d’un trouble schizo-affectif, type maniaque, ainsi que de troubles mixtes de la personnalité et autres troubles de la personnalité. Elle présente également une probable déficience mentale avec déclin cognitif. Il s'agit d'une affection durable et peu curable, les soins se voulant d'approche palliative. L’intéressée est dans le déni de sa pathologie, a une reconnaissance de ses troubles très limitée et l’adhésion à son suivi psychiatrique et à sa médication antipsychotique est mauvaise quand elle est à domicile, ce qui peut entraîner des décompensations, telle que celle qui a conduit à son hospitalisation à l'Hôpital de [...] le 12 avril 2023 et au signalement des médecins de cet établissement du 11 mai 2023 tendant à l'institution d'une obligation de soins (médication dépôt et suivi psychiatrique régulier) et d'une mesure de curatelle en sa faveur. Lors de l'audience du 2 juin 2023, le Dr Q.________ a indiqué que lorsque A.J.________ reprenait une médication adaptée en milieu hospitalier, une rapide bonne évolution était constatée avec possibilité de retour à domicile, de sorte qu'il fallait s'attendre à une rémission lorsqu’elle prenait son traitement régulièrement. Il a toutefois relevé que l’intéressée avait refusé la mise en œuvre d'une médication dépôt, n’en voyant pas l’intérêt. Par ailleurs, les experts ont mentionné que le traitement neuroleptique, susceptible et connu pour avoir assuré à la personne concernée un semblant de stabilité malgré la chronicité du trouble, avait été arrêté par cette dernière depuis juin 2023, à savoir dès son retour à domicile. Lors de son audition du 30 novembre 2023, A.J.________ a du reste confirmé qu’elle refusait de prendre les médicaments que lui prescrivaient les médecins. Il résulte de ce qui précède que la cause de la curatelle est réalisée. 4.3.2 S’agissant du besoin de protection, les experts considèrent que A.J.________ rencontre actuellement une grande difficulté à gérer ses biens, alors qu'elle a su le faire toute sa vie durant, que la péjoration de ses troubles cognitifs depuis deux ans pourrait nuire à la sauvegarde de ses biens, notamment immobiliers, et qu’elle pourrait être victime de</w:t>
      </w:r>
    </w:p>
    <w:p>
      <w:r>
        <w:t>- 26 - malversations de la part de son époux concernant son patrimoine. Les experts admettent toutefois qu'ils n’ont pas pu évaluer la capacité de la personne concernée à pouvoir gérer ses affaires et que le CMS n’a pas été en mesure de leur fournir davantage d'éléments à ce sujet. En outre, lors de son audition du 2 juin 2023, le Dr Q.________ a déclaré qu’il ne pouvait pas se déterminer avec certitude sur la problématique relative à B.J.________. Par ailleurs, l’intéressée n'est pas propriétaire de la maison dans laquelle elle vit, mais ne dispose que d’un droit d’usufruit, conjointement avec son époux, le couple ayant fait donation à ses filles de son immeuble par acte notarié du [...] 2010. De plus, les reproches de malversations concernant B.J.________ ne sont que des hypothèses, qui ne sont étayées par aucun élément du dossier. Partant, l’expertise du 28 septembre 2023 est insuffisante pour retenir comme établi le besoin de protection de A.J.________. De surcroît, la recourante affirme que contrairement à l'appréciation des premiers juges, sa mère pourrait bénéficier, pour la gestion de ses affaires, de l’aide de ses proches, à savoir de ses deux filles, voire éventuellement de son époux si les reproches de malversations ne devaient pas être établis. Enfin, la situation financière de la personne concernée est saine. En effet, les déclarations fiscales ont été établies et selon l’extrait du registre des poursuites du 23 mai 2023, A.J.________ ne fait l’objet d’aucune poursuite, ni d’aucun acte de défaut de biens. Au regard de ces éléments, le besoin de protection de l’intéressée n'est pas suffisamment établi s'agissant de la gestion de ses biens. En revanche, on doit admettre qu’elle a besoin de soins et que son époux ne peut pas être son représentant thérapeutique compte tenu des relations qu'il entretient avec le CMS et des diverses critiques formulées à son encontre par les médecins de l’Hôpital de [...], la Dre K.________ et l’autorité de protection. A cet égard, on relèvera que personne n’a rencontré B.J.________ et que les écritures produites en recours (déclarations de ses filles et de ses beaux-fils des 9, 17 et 18 février 2024) montrent ce dernier sous un autre jour. A noter que la question des soins</w:t>
      </w:r>
    </w:p>
    <w:p>
      <w:r>
        <w:t>- 27 - est réglée par la décision de la justice de paix du 30 novembre 2023, qui dit que A.J.________ doit suivre un traitement ambulatoire auprès de la Dre K.________ impliquant un suivi psychiatrique ambulatoire régulier et la prise d'une médication dépôt (traitement antipsychotique sous la forme d'injection) selon les modalités jugées nécessaires par la médecin, ainsi que le passage du CMS à domicile pour des prestations et selon une fréquence à déterminer par la médecin, qui est chargée du traitement ambulatoire et qui doit aviser l'autorité de protection si la personne concernée se soustrait aux contrôles prévus et compromet de toute autre façon ce traitement. 5. En conclusion, le recours interjeté par X.________ doit être admis, la décision entreprise annulée et la cause renvoyée à la justice de paix pour complément d'instruction et nouvelle décision dans le sens des considérants. Le présent arrêt peut être rendu sans frais judiciaires (art. 74a al. 4 TFJC [Tarif du 28 septembre 2010 des frais judiciaires civils ; BLV 270.1 1 .5]). L’avance de frais de 600 fr. effectuée par la recourante doit ainsi lui être restituée. Par ces motifs, la Chambre des curatelles du Tribunal cantonal, statuant à huis clos, prononce : I. Le recours est admis. II. La décision est annulée et la cause renvoyée à la Justice de paix du district de Morges pour complément d’instruction et nouvelle décision dans le sens des considérants.</w:t>
      </w:r>
    </w:p>
    <w:p>
      <w:r>
        <w:t>- 28 - III. L'arrêt est rendu sans frais judiciaires de deuxième instance, l’avance de frais versée par la recourante X.________, par 600 fr. (six cents francs), lui étant restituée. La présidente : La greffière : Du L'arrêt qui précède, dont la rédaction a été approuvée à huis clos, est notifié à : - Me Lara Eggimann (pour X.________), - Mme A.J.________, - M. B.J.________, - Mme B.________, - M. G.________, assistant social auprès du Service des curatelles et tutelles professionnelles, - Dre K.________,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