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UD14.034635 vom 31. Oktober 2014</w:t>
      </w:r>
    </w:p>
    <w:p>
      <w:r>
        <w:t>VD Tribunal cantonal, 2014-10-31, FR</w:t>
      </w:r>
    </w:p>
    <w:p>
      <w:r>
        <w:rPr>
          <w:b/>
        </w:rPr>
        <w:t xml:space="preserve">Quelle: </w:t>
      </w:r>
      <w:r>
        <w:t>https://mcp.opencaselaw.ch/entscheid/vd_gerichte_UD14.034635</w:t>
      </w:r>
    </w:p>
    <w:p>
      <w:r>
        <w:t>FR: VD_GERICHTE UD14.034635 du 31 octobre 2014</w:t>
      </w:r>
    </w:p>
    <w:p>
      <w:r>
        <w:t>IT: VD_GERICHTE UD14.034635 del 31 ottobre 2014</w:t>
      </w:r>
    </w:p>
    <w:p>
      <w:pPr>
        <w:pStyle w:val="Heading2"/>
      </w:pPr>
      <w:r>
        <w:t>Erwägungen</w:t>
      </w:r>
    </w:p>
    <w:p>
      <w:r>
        <w:rPr>
          <w:b/>
        </w:rPr>
        <w:t>E. 1</w:t>
      </w:r>
    </w:p>
    <w:p>
      <w:r>
        <w:t>Le recours est dirigé contre une décision de la justice de paix désignant C.________ en qualité de représentante thérapeutique d’B.R.________ et mettant les frais de la décision à la charge de celui-ci.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b)L’art. 446 al. 1 CC prévoit que l'autorité de protection établit les faits d'office. Compte tenu du renvoi de l’art. 450f CC aux règles du</w:t>
      </w:r>
    </w:p>
    <w:p>
      <w:r>
        <w:t>- 6 -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 4 al. 1 LVPAE) l'occasion de prendre position (al. 1), cette autorité pouvant, au lieu de prendre position, reconsidérer sa décision (al. 2). c)Interjeté en temps utile, le recours de A.R.________, père de la personne concernée qui s’occupe de la gestion des affaires de son fils depuis plusieurs années et à qui la qualité de proche doit être reconnue, est recevable en tant qu’il concerne les frais de la décision de première instance. Il en va de même des nouvelles pièces produites en deuxième instance. En revanche, s’agissant de la modification d’une phrase de la décision, dans la mesure où le recours porte sur les motifs de la décision attaquée, et non sur le dispositif de celle-ci, le recours de A.R.________ est irrecevable, faute d’intérêt (TF 4C.98/2007 du 29 avril 2008; Zürcher, ZPO Kommentar, 2e éd., Zurich/Bâle/ Genève 2013, n. 14 ad art. 59 CPC; Corboz/Wurzburger/Ferrari/Frésard/Aubry Girardin, Commentaire de la LTF, 2e éd., Berne 2014, nn. 17 à 21 ad art. 76 LTF, pp. 683 et 684 ; Corboz, Le recours en réforme au Tribunal fédéral, in SJ 2000 II p. 47 ; Poudret, Commentaire de la loi fédérale d’organisation judiciaire du 16 décembre 1943 II [COJ II], Berne 1990, n. 1.6.4 ad art. 43 OJF, pp. 140-142).</w:t>
      </w:r>
    </w:p>
    <w:p>
      <w:r>
        <w:t>- 7 - Interjeté en temps utile par la représentante thérapeutique désignée, qui a qualité pour recourir, le recours de C.________ est recevable. L’autorité de protection a été consultée conformément à l’art. 450d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3</w:t>
      </w:r>
    </w:p>
    <w:p>
      <w:r>
        <w:t>La recourante conteste sa désignation en qualité de représentante thérapeutique, exposant en bref qu’elle est une maman divorcée, qu’elle travaille à plein temps comme infirmière aux soins palliatifs, qu’elle élève seule son enfant, qu’elle est assez mise à contribution psychologiquement dans sa vie privée et dans sa vie professionnelle, qu’elle suit une formation professionnelle impliquant un engagement supplémentaire de sa part et qu’elle refuse d’assumer le mandat confié.</w:t>
      </w:r>
    </w:p>
    <w:p>
      <w:r>
        <w:t>- 8 - a)Le nouveau droit de la protection de l’adulte pose de nouvelles règles sur la représentation en matière médicale et clarifie la situation lorsqu’une personne incapable de discernement doit recevoir des soins qui ne font pas l’objet de directives anticipées (art. 377 al. 1 CC). Le pouvoir de représentation conféré par la loi vise tous les soins dans le domaine médical, sans distinguer ceux qui sont dispensés ambulatoirement ou en milieu institutionnel (art. 378 al. 1 CC). L’art. 378 CC dresse la liste des personnes habilitées à représenter le patient incapable de discernement. Lorsqu’il n’existe pas de personne habilitée à agir ou qu’aucune personne habilitée n’accepte d’exercer ce pouvoir, il appartient à l’autorité de protection de désigner à l’intéressé un curateur de représentation dans le domaine médical (art. 381 al. 1 CC). L’art. 381 CC énonce de manière apparemment exhaustive les situations dans lesquelles l’autorité de protection peut être appelée à désigner un représentant ou un curateur de représentation qui aura la charge de prendre les décisions dans le domaine médical pour une personne incapable de discernement (Guillod/Hertig Pea, in Commentaire du droit de la famille [CommFam], Protection de l’adulte, Berne 2013, n. 1 ad art. 381 CC, p. 301). L’art. 381 al. 2 CC permet à l’autorité de protection d’instituer une curatelle de représentation lorsque le représentant ne peut pas être déterminé clairement (ch. 1), lorsque les représentants ne sont pas tous du même avis (ch. 2), savoir lorsque plusieurs personnes présentent le même degré de priorité selon l’art. 378 al. 1 CC et fournissent une assistance personnelle régulière au patient, comme par exemple des frères et sœurs, ou lorsque les intérêts de la personne incapable de discernement sont compromis ou risquent de l’être (ch. 3), hypothèse visant à protéger la personne incapable de discernement contre d’éventuels abus dans l’exercice du pouvoir de représentation (CommFam, op. cit., nn. 7 et 8 ad art. 381 CC, p. 303). Quand les représentants ne sont pas tous du même avis, l’autorité de protection doit désigner en principe parmi eux la personne qui déciderait de la manière la plus conforme à la volonté présumée du patient ou aux intérêts objectifs de celui-ci, mais elle ne saurait déroger à</w:t>
      </w:r>
    </w:p>
    <w:p>
      <w:r>
        <w:t>- 9 - l’ordre de priorité établi par la loi. Si l’autorité préfère ne pas exacerber les tensions familiales en privilégiant un proche au détriment d’un autre, elle nommera un curateur de représentation en le choisissant hors du giron familial (CommFam, op. cit., n. 12 ad art. 381 CC, pp. 304-305). Quand les intérêts du patient sont compromis ou risquent de l’être, l’autorité de protection détient un pouvoir d’appréciation plus large, dicté par la préservation des intérêts de la personne incapable de discernement. L’autorité ne pourra déroger à l’ordre de priorité de l’art. 378 CC que si les personnes présentant un degré de priorité plus grand n’étaient pas à même de sauvegarder convenablement les intérêts du patient incapable de discernement. L’autorité de protection garde la possibilité de quitter la logique de l’art. 378 CC en instituant une curatelle de représentation et en choisissant plus librement le curateur (CommFam, op. cit., n. 13 ad art. 381 CC, p. 305). Ainsi, dans toutes les hypothèses énumérées à l’art. 381 CC, l’autorité de protection peut instituer une curatelle de représentation au sens de l’art. 394 CC et désigner un curateur, les règles générales de l’art. 400 CC relatives à la nomination du curateur étant applicables. L’autorité de protection doit ainsi nommer la personne qui, selon elle, est la plus apte à remplir la tâche de représentant dans le domaine médical, sans devoir tenir compte de l’ordre de priorité figurant à l’art. 378 CC, mais en respectant les éventuels souhaits manifestés par la personne concernée avant de perdre le discernement (art. 401 CC ; CommFam, op. cit., n. 9 ad art. 391, pp 303-304). Il s’ensuit que l’art. 40 LVPAE concernant la distinction entre les cas simples et les cas lourds est également applicable lors de la désignation d’un représentant thérapeutique. b)En l’espèce, la désignation d’un curateur de représentation dans le domaine médical à B.R.________ n’est pas contestée. S’agissant de la personne du curateur désigné, les règles usuelles relatives au curateur de représentation sont applicables. Il résulte de l’examen du dossier qu’B.R.________ souffre de schizophrénie paranoïde et que cette maladie altère par périodes sa</w:t>
      </w:r>
    </w:p>
    <w:p>
      <w:r>
        <w:t>- 10 - perception de la réalité, engendrant des moments d’angoisses et de désarroi intenses. Grâce à une médication adaptée, un entourage professionnel adéquat et une structure soutenante et cadrante, les symptômes de sa maladie peuvent être améliorés. B.R.________ est toutefois totalement anosognosique et incapable de discernement quant à sa maladie psychiatrique, de sorte que sa situation nécessite un investissement important de la part de son représentant thérapeutique à qui il appartient de défendre ses intérêts de patient. Lors de leur audition par le juge de paix le 11 mars 2014, le recourant et son fils ont par ailleurs exprimé le souhait qu’une personne neutre soit désignée comme représentant thérapeutique afin d’éviter au curateur nommé d’assumer une double fonction. Dans ces conditions, la cour de céans considère que l’on se trouve en présence d’un cas qui peut être objectivement évalué comme lourd à gérer pour un curateur privé au sens de l’art. 40 al. 4 LVPAE et qu’il est dans l’intérêt de la personne concernée que la mesure soit confiée à un curateur professionnel. On ne saurait en effet imposer le mandat litigieux à la recourante, ce alors même qu’elle dispose de compétences dans le domaine médical de par son travail d’infirmière en soins palliatifs. Partant, le recours étant bien fondé, la décision entreprise doit être annulée sur ce point et réformée, le mandat étant confié à D.________, assistante sociale auprès de l’OCTP, étant précisé qu’en cas d’indisponibilité de celle-ci, ledit office assurera son remplacement.</w:t>
      </w:r>
    </w:p>
    <w:p>
      <w:r>
        <w:rPr>
          <w:b/>
        </w:rPr>
        <w:t>E. 4</w:t>
      </w:r>
    </w:p>
    <w:p>
      <w:r>
        <w:t>Le recourant conclut à ce que les frais de la décision des premiers juges soient mis à la charge de l’Etat, faisant valoir que son fils est au bénéfice d’une rente de l’assurance invalidité, de prestations complémentaires et d’une allocation pour impotents entièrement utilisées pour le paiement des frais de son hébergement en foyer, qu’il donne de l’argent à son fils pour ses sorties et que la fortune imposable de son fils se montait à 2'000 fr. en 2013.</w:t>
      </w:r>
    </w:p>
    <w:p>
      <w:r>
        <w:t>- 11 - a)Aux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(let. a), ou de la personne qui a requis la mesure, si sa demande est abusive (let. b) (al. 2). Dans les autres cas, les frais sont à la charge de l’Etat (al. 3). L’art. 19 LVPAE est une norme potestative, ce qui implique que la mise à charge des frais de la personne concernée dépend des circonstances du cas d’espèce. L’indigence de l’intéressé est en principe un élément qui doit être pris en considération. Selon les circonstances, les frais peuvent être laissés à la charge de l’Etat, notamment s’il s’agit d’une mesure prononcée en raison des facultés mentales et/ou des troubles psychiques de la personne concernée (Exposé des motifs et projet de loi [EMPL] de la loi vaudoise d’application du droit fédéral de la protection de l’adulte et de l’enfant, novembre 2011, no 441, ch. 3.2.4, p. 34, et commentaire ad art. 19 LVPAE, p. 102). Selon la jurisprudence rendue sous l’empire de l’art. 396 CPC-VD (Code de procédure civile vaudois du 14 décembre 1966), resté applicable jusqu’au 31 décembre 2012 conformément à l'art. 174 CDPJ (Code de droit privé judiciaire vaudois du 12 janvier 2010, RSV 211.02) et qui avait une teneur similaire à l’actuel art. 19 LVPAE, les frais de la procédure d’interdiction pouvaient être laissés à la charge de l’Etat dans un cas où il avait été renoncé à prononcer l’interdiction civile de l’intéressée et que la personne concernée était atteinte de troubles psychiatriques répondant à la définition de maladie mentale au sens de l’art. 369 aCC (CCUR 12 mars 2013/69 c. 5b/bb et les références citées). Il a de même été jugé que les principes tirés de l’art. 396 al. 2 CPC-VD en matière d’interdiction s’appliquaient également en matière de privation de liberté à des fins d’assistance (CCUR 12 mars 2013/69 précité c. 5b/cc et les références citées). Selon l’art. 12 LVPAE, les dispositions générales (art. 1 à 196) et, par analogie, celles relatives à la procédure sommaire (art. 248 à 270) du CPC sont applicables à titre complémentaire à la présente loi en matière de procédure d’intervention des autorités de protection de</w:t>
      </w:r>
    </w:p>
    <w:p>
      <w:r>
        <w:t>- 12 - l’adulte et de l’enfant. L’art. 112 al. 1 CPC prévoit que le tribunal peut accorder un sursis ou, lorsque la partie est durablement dépourvue de moyens, renoncer aux créances en frais judiciaires. Lorsque la personne concernée est indigente, il est statué sans frais judiciaires. Est réputée indigente toute personne concernée dont la fortune nette est inférieure à 5'000 fr. (art. 4 al. 2 RCur [Règlement du 18 décembre 2012 sur la rémunération des curateurs, RSV 211.255.2]). b)En l’espèce, il ressort de la décision de taxation de l’impôt sur le revenu et la fortune 2013 concernant B.R.________ que sa fortune imposable était de 2'000 francs en 2013, de sorte qu’il peut être considéré comme indigent. A cela s’ajoute le fait qu’une mesure de protection a été instituée en faveur d’B.R.________ en raison des troubles schizophréniques qu’il présente. Dans ces circonstances, les frais de première instance, par 300 fr., peuvent être laissés à la charge de l’Etat. Le montant de 300 fr. est au surplus conforme à l’art. 50i al. 1 TFJC (Tarif du 28 septembre 2010 des frais judiciaires civils, RSV 270.11.5).</w:t>
      </w:r>
    </w:p>
    <w:p>
      <w:r>
        <w:rPr>
          <w:b/>
        </w:rPr>
        <w:t>E. 5</w:t>
      </w:r>
    </w:p>
    <w:p>
      <w:r>
        <w:t>En conclusion, les recours interjetés par A.R.________ et par C.________ doivent être admis, la décision étant réformée en ce sens que D.________, assistante sociale auprès de l’OCTP, est désignée en qualité de représentante thérapeutique d’B.R.________ et que les frais de première instance, par 300 fr., sont laissés à la charge de l’Etat. Le présent arrêt peut être rendu sans frais judiciaires (art. 74a al. 4 TFJC [Tarif du 28 septembre 2010 des frais judiciaires civils, RSV 270.11.5]).</w:t>
      </w:r>
    </w:p>
    <w:p>
      <w:r>
        <w:t>- 13 - Par ces motifs, la Chambre des curatelles du Tribunal cantonal, statuant à huis clos, prononce : I. Les recours sont admis. II. La décision est réformée comme il suit aux chiffres IV et V de son dispositif : IV. désigne D.________, assistante sociale de l’Office des curatelles et tutelles professionnelles, en qualité de représentante thérapeutique et dit qu’en cas d’indisponibilité de celle-ci, ledit office assurera son remplacement. V. laisse les frais de la présente décision, par 300 fr. (trois cents francs), à la charge de l’Etat. La décision est confirmée pour le surplus. III. L’arrêt est rendu sans frais judiciaires. IV. L'arrêt motivé est exécutoire. La présidente : La greffière : Du 31 octobre 2014</w:t>
      </w:r>
    </w:p>
    <w:p>
      <w:r>
        <w:t>- 14 - Le dispositif de l'arrêt qui précède est communiqué par écrit aux intéressés. La greffière : Du L'arrêt qui précède, dont la rédaction a été approuvée à huis clos, est notifié à : - M. A.R.________, - M. B.R.________, - Mme C.________, - Office des curatelles et tutelles professionnelles, Mme D.________,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