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TU11.000038 vom 26. September 2012</w:t>
      </w:r>
    </w:p>
    <w:p>
      <w:r>
        <w:t>VD Tribunal cantonal, 2012-09-26, FR</w:t>
      </w:r>
    </w:p>
    <w:p>
      <w:r>
        <w:rPr>
          <w:b/>
        </w:rPr>
        <w:t xml:space="preserve">Quelle: </w:t>
      </w:r>
      <w:r>
        <w:t>https://mcp.opencaselaw.ch/entscheid/vd_gerichte_TU11.000038</w:t>
      </w:r>
    </w:p>
    <w:p>
      <w:r>
        <w:t>FR: VD_GERICHTE TU11.000038 du 26 septembre 2012</w:t>
      </w:r>
    </w:p>
    <w:p>
      <w:r>
        <w:t>IT: VD_GERICHTE TU11.000038 del 26 settembre 2012</w:t>
      </w:r>
    </w:p>
    <w:p>
      <w:pPr>
        <w:pStyle w:val="Heading2"/>
      </w:pPr>
      <w:r>
        <w:t>Erwägungen</w:t>
      </w:r>
    </w:p>
    <w:p>
      <w:r>
        <w:rPr>
          <w:b/>
        </w:rPr>
        <w:t>E. 3</w:t>
      </w:r>
    </w:p>
    <w:p>
      <w:r>
        <w:t>a) Seuls demeurent litigieux dans cette procédure de divorce, le principe et le montant d'une contribution d'entretien due par l'intimé A.Q.________ en faveur de l'appelante B.Q.________. Celle-ci soutient que la quotité de la contribution d'entretien a certes été correctement évaluée par les premiers juges mais que rien ne justifie qu'elle soit réduite après deux ans voire supprimée ultérieurement dès lors qu'on ne pouvait pas exiger d'elle qu'elle augmente ses revenus. Elle avait 52 ans et était durablement incapable d'exercer une activité professionnelle. Ses expectatives de l'assurance-vieillesse et survivants et de la prévoyance professionnelle étaient quasi inexistantes et le résultat du partage des prestations de sortie n'était pas de nature à modifier sa situation financière. Pour l'intimé A.Q.________, la vie commune a été brève et le couple n'a pas eu d'enfants. L'état de santé de l'appelante n'est pas en lien avec le mariage et ne doit dès lors pas être pris en considération. L'appelante n'a par ailleurs pas démontré qu'elle ne disposait pas des avoirs lui permettant de subvenir seule à ses besoins. Le montant des contributions tel qu'il avait été fixé conventionnellement entre les parties n'est pas déterminant dès lors qu'il n'avait pas connaissance, au moment de l'accord, des montants perçus par l'appelante de la part de l'assurance- invalidité. b)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w:t>
      </w:r>
    </w:p>
    <w:p>
      <w:r>
        <w:t>- 11 -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128 III 257; ATF 127 III 136 c. 2a, rés.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Une contribution d'entretien est due en vertu du principe de la solidarité si le mariage a eu une influence concrète sur les conditions d'existence de l'époux crédirentier ("lebensprägende Ehe"),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 4.1; ATF 134 III 145 c. 4; ATF 135 II 59 c. 4.1; ATF 137 III 102 c. 4.1.2). L'impact du mariage sur la vie des époux est plus décisif que la durée de la vie</w:t>
      </w:r>
    </w:p>
    <w:p>
      <w:r>
        <w:t>- 12 -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certaines circonstances, le concubinage antérieur peut être pris en considération; ATF 132 III 598 c. 9.2).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des époux (ATF 132 III 598 c. 9.2; ATF 127 III 136 c. 2c; FamPra.ch 2007, p. 146 et références; Bastons Bulletti, L'entretien après divorce : méthodes de calcul, montant, durée et limites, SJ 2007 Il 77, spéc. pp. 93 et 94 et références). Selon la jurisprudence, indépendamment de sa durée, un mariage influence concrètement la situation des conjoints lorsque ceux-ci ont des enfants communs (ATF 135 III 59 c. 4.1; TF 5A_460/2008 du 30 octobre 2008 c. 3.2 et références). Une position de confiance digne de protection créée par le mariage peut toutefois être retenue pour d'autres motifs également. Ainsi, lorsque l'un des conjoints souffrait, avant le mariage déjà, de maladie ou d'invalidité et qu'en connaissance de cet état de fait, les parties ont décidé de se marier, on doit admettre qu'elles ont, au moins implicitement, choisi et accepté d'assumer ensemble ce destin; dans cette mesure, il doit être tenu compte de la maladie ou de l'invalidité dudit conjoint dans l'appréciation de l'influence concrète du mariage, malgré le fait qu'elles soient survenues antérieurement à sa célébration, ce d'autant plus que l'art. 125 al. 2 ch. 4 CC fait expressément mention de l'état de santé des</w:t>
      </w:r>
    </w:p>
    <w:p>
      <w:r>
        <w:t>- 13 - époux dans les critères qu'il faut prendre en considération pour déterminer si une contribution d'entretien se justifie (TF 5A_90/2012 du 4 juillet 2012 c. 3.1.2; TF 5A_767/2011 du 1er juin 2012 c. 5.2.2-5.3 et la jurisprudence citée; TF 5A_856/2011 du 24 février 2012). Selon la jurisprudence, le seul fait que l'un des conjoints ne soit pas, ou ne soit que partiellement, en mesure d'exercer une activité lucrative en raison de son état de santé ne constitue cependant pas en soi une raison d'allouer une contribution d'entretien. La question relative à une contribution d'entretien basée sur le principe de la solidarité après le divorce ne se pose que si la maladie a un lien avec le mariage (TF 5C.169/2006 du 13 septembre 2006 c. 2.6, publié in FamPra.ch 2007, p. 146). Dans cette affaire, le Tribunal fédéral a refusé toute contribution d'entretien, s'agissant de conjoints ayant vécu ensemble pendant 8 ans, dès lors que les troubles de santé (hépatite) de l'épouse n'avaient aucun lien avec le mariage. c) En l'espèce, la situation des parties a évolué pendant l'union conjugale. L'intimé allègue qu'après leur mariage et jusqu'en été 2004, l'appelante a travaillé à la cafétéria de [...] (aIlégué 15 de la demande), ce qu'elle conteste. Quoiqu'il en soit, on ne connaît rien de son revenu, de son taux d'activité, de son état de santé à ce moment-là et des motifs pour lesquels les rapports de travail auraient pris fin. Par la suite, l'appelante n'a plus travaillé. Elle a été au bénéfice d'une demi-rente ordinaire d'invalidité à compter du 1er juillet 2008 pour un montant de 881 fr. puis d'une rente complète à compter du 1er novembre 2008. Elle perçoit dorénavant 1'850 fr. net par mois de l'assurance-invalidité et 230 fr. à titre de rente mensuelle LPP. Si les parties ont été mariées pendant neuf ans, elles n'ont cependant vécu ensemble que six ans, de sorte qu'on se trouve en présence d'un mariage de moyenne durée, où il n'existe aucune présomption en faveur ou en défaveur d'une influence sur la situation économique des époux. En outre, aucun enfant n'est issu de cette union.</w:t>
      </w:r>
    </w:p>
    <w:p>
      <w:r>
        <w:t>- 14 - La détérioration de l'état de santé de l'épouse est postérieure au mariage, de sorte qu'on ne saurait fonder une position de confiance de l'appelante sur le fait que les époux se seraient mariés en connaissance de cause, comme dans les arrêts précités. Le fait que l'épouse n'ait pas révélé à son mari qu'elle sollicitait une rente d'invalidité tend à montrer qu'elle n'avait pas une confiance particulière dans le soutien de celui-ci, dont elle était séparée de biens. L'épouse ne se place d'ailleurs pas sur ce terrain mais plaide que c'est le mariage lui-même qui a provoqué chez elle un état dépressif puis son invalidité (cf. réponse sur appel, chiffres 24 et 25). Or, le dossier de la cause est muet sur ce point. La décision d'octroi d'une rente d'invalidité entière n'a été produite qu'en partie (cf. pièce 104), et on ignore tout des motifs ayant fondé le droit à la rente. On ne saurait par ailleurs voir un aveu du lien avec le mariage dans la pièce 110 invoquée par l'appelante, où le précédent conseil de l'appelant écrivait ce qui suit : "Sachant que l'invalidité partielle qui a été reconnue en 2008 à votre cliente est à mettre sur le compte notamment d'un état dépressif attribué par l'intéressée à la dégradation du climat conjugal et à son esseulement, il est raisonnable de postuler que cette indication disparaîtra avec le divorce". Dans ce courrier, l'avocat fait part de la position de l'appelante sans la faire sienne (état dépressif attribué par l'intéressée à la dégradation du climat conjugal) et ne fait que tirer les conséquences de cette position telle qu'exprimée. Il n'y a pas d'aveu du lien des troubles de santé avec le mariage, qui ne ressort d'aucun élément du dossier. Quant aux problèmes de genou droit évoqués à la pièce 108, rien n'indique qu'ils seraient en lien avec le mariage. On ne saurait par ailleurs fonder la solidarité après divorce sur le seul fait que pendant quatre ans, l'appelante n'a pas bénéficié d'un autre revenu que celui de son époux. En effet, le devoir d'entretien pendant cette période se fondait sur l'art. 163 CC et l'appelante ne pouvait pas en déduire qu'il perdurerait sans autres après divorce.</w:t>
      </w:r>
    </w:p>
    <w:p>
      <w:r>
        <w:t>- 15 - Enfin, les conclusions initialement prises par l'appelant en procédure ne sauraient à elles seules créer une position de confiance, dès lors qu'elles ont été articulées après la fin de la vie commune et que l'appelant est revenu sur ce point dans la suite de la procédure. Cela étant, il convient de constater qu'aucune situation de confiance n'a été créée en l'espèce, de sorte que l'appelant n'est pas tenu de contribuer à l'entretien de son épouse. Il y a ainsi lieu d'admettre l'appel formé par A.Q.________ et de réformer le jugement attaqué dans le sens de ce qui précède. Il y a également lieu de rejeter l'appel de B.Q.________.</w:t>
      </w:r>
    </w:p>
    <w:p>
      <w:r>
        <w:rPr>
          <w:b/>
        </w:rPr>
        <w:t>E. 4</w:t>
      </w:r>
    </w:p>
    <w:p>
      <w:r>
        <w:t>Par surabondance, il se justifie d'admettre l'appel formé par A.Q.________ et de rejeter l'appel formé par B.Q.________ aussi pour un autre motif. En effet, en l'absence d'enfant mineur concerné par l'issue du litige, la maxime des débats, assortie du devoir d'interpellation du juge (art. 277 al. 2 CPC; Hohl, Procédure civile, tome II, 2ème éd., Berne 2010, n. 1161; Tappy, CPC commenté, Bâle 2011, n. 7 ad. art. 277 CPC, p. 1101) et la maxime de disposition sont applicables (art. 277 al. 1 CPC; Tappy, op. cit., n. 5 ad art. 277 CPC, p. 1100). Il en résulte que l'obligation pour les parties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CPC commenté, Bâle 2011, n. 3 ad art. 55 CPC, p. 151). Ainsi, dans le cadre d'une prétention en contribution d'entretien du chef de l'art. 125 CC, il appartient au crédirentier d'alléguer les faits propres à établir le standard de vie des époux pendant l'union conjugale s'il prétend à son maintien, les faits propres à démontrer qu'il ne peut pas pourvoir lui- même à son entretien ainsi que les faits relatifs aux capacités du débirentier d'assumer son entretien.</w:t>
      </w:r>
    </w:p>
    <w:p>
      <w:r>
        <w:t>- 16 - En l'espèce, en première instance, l'appelante n'a strictement rien allégué s'agissant du train de vie des époux pendant leur union ou du financement de son entretien. Elle s'est contentée de déclarer que la pension de 3'500 fr. devait être maintenue après le divorce (cf. réponse du 2 mai 2011, allégué 40) et qu'elle produirait un budget (idem, allégué 42), lequel n'a jamais été déposé. L'appelante n'a pas même donné le détail de ses dépenses et l'on ne sait rien de ses frais de logement, d'assurance maladie ou des autres charges. Les premiers juges ont estimé, en équité, que le montant de 2'500 fr. par mois, qui avait été stipulé dans la convention de mesures protectrices de l'union conjugale, devait correspondre à la fois aux besoins de l'appelante et aux possibilités de l'appelant et que, en équité, ce montant pouvait encore être versé pendant deux ans puis ramené à 1'000 fr. pour cinq ans supplémentaires, sans autres précisions. Or, compte tenu des principes applicables aux procédures matrimoniales qui concernent uniquement la contribution d'entretien, il appartenait précisément à la défenderesse à l'action d'alléguer les faits propres à évaluer le montant de la contribution. Il n'incombait pas aux magistrats de palier cette carence en vertu de leur devoir d'interpellation (art. 277 al. 2 CPC), lequel ne se rapporte qu'aux offres de preuve et non aux allégations. Le défaut d'allégation de l'appelante au sujet de sa situation financière devait conduire les premiers juges à rejeter ses prétentions en paiement d'une contribution d'entretien. Elle ne saurait dès lors prétendre, au stade de l'appel, au paiement d'une contribution plus importante, à tout le moins dans sa durée, à celle qu'elle a obtenu en première instance.</w:t>
      </w:r>
    </w:p>
    <w:p>
      <w:r>
        <w:rPr>
          <w:b/>
        </w:rPr>
        <w:t>E. 5</w:t>
      </w:r>
    </w:p>
    <w:p>
      <w:r>
        <w:t>a) En conclusion, l'appel de B.Q.________ doit être rejeté, et l'appel de A.Q.________ doit être admis et le jugement attaqué réformé dans le sens des considérants précédents. Obtenant gain de cause, A.Q.________ a droit à des dépens de première instance, qu'il convient de fixer à 3'660 fr., savoir 1'160 fr. au titre de remboursement du coupon de justice et 2'500 fr. au titre de participation aux honoraires de son conseil.</w:t>
      </w:r>
    </w:p>
    <w:p>
      <w:r>
        <w:t>- 17 - b) Les frais judiciaires de deuxième instance, fixés à 2'400 fr. (art. 63 al. 2 TFJC [tarif des frais judiciaires civils du 28 septembre 2010; RSV 270.11.5]), sont laissés à la charge de l'Etat, vu l'assistance judiciaire accordée à B.Q.________ et le fait qu'elle a vu son appel rejeté (art. 106 al. 1 et 122 al. 1 let. b et c CPC). B.Q.________ qui succombe, doit verser à A.Q.________ la somme de 2'500 fr. à titre de dépens de deuxième instance (art. 122 al. 1 let. d CPC; art. 37 al. 2 CDPJ [Code de droit privé judiciaire vaudois du 12 janvier 2010; RSV 211.02]; art. 2, 3 et 7 TDC [tarif des dépens en matière civile du 23 novembre 2010; RSV 270.11.6]). c) Le conseil d'office de l'appelante a produit la liste de ses opérations; il indique avoir consacré neuf heures et vingt-sept minutes à sa mission. Aux termes de l'art. 2 al. 1 RAJ (règlement sur l'assistance judiciaire en matière civile du 7 décembre 2010;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En l'espèce, il y a lieu d'admettre un total de neuf heures et vingt-sept minutes effectuées par le conseil d'office de l'appelante, qui tient compte des deux procédures d'appel. Au tarif horaire de 180 fr., l'indemnité de Me Alain Dubuis doit être fixée à 1'701 fr., montant auquel il convient d'ajouter la TVA par 136 fr. 08, et 100 fr. de débours (art. 3 al. 3 RAJ), soit un total de 1'940 fr. en chiffres ronds.</w:t>
      </w:r>
    </w:p>
    <w:p>
      <w:r>
        <w:t>- 18 - La bénéficiaire de l'assistance judiciaire est tenue, dans la mesure de l'art. 123 CPC,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