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TU10.039456 vom 10. Oktober 2011</w:t>
      </w:r>
    </w:p>
    <w:p>
      <w:r>
        <w:t>VD Tribunal cantonal, 2011-10-10, FR</w:t>
      </w:r>
    </w:p>
    <w:p>
      <w:r>
        <w:rPr>
          <w:b/>
        </w:rPr>
        <w:t xml:space="preserve">Quelle: </w:t>
      </w:r>
      <w:r>
        <w:t>https://mcp.opencaselaw.ch/entscheid/vd_gerichte_TU10.039456</w:t>
      </w:r>
    </w:p>
    <w:p>
      <w:r>
        <w:t>FR: VD_GERICHTE TU10.039456 du 10 octobre 2011</w:t>
      </w:r>
    </w:p>
    <w:p>
      <w:r>
        <w:t>IT: VD_GERICHTE TU10.039456 del 10 ottobre 2011</w:t>
      </w:r>
    </w:p>
    <w:p>
      <w:pPr>
        <w:pStyle w:val="Heading2"/>
      </w:pPr>
      <w:r>
        <w:t>Erwägungen</w:t>
      </w:r>
    </w:p>
    <w:p>
      <w:r>
        <w:rPr>
          <w:b/>
        </w:rPr>
        <w:t>E. 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Interjeté en temps utile, l'appel, qui porte sur une cause non patrimoniale, est recevable.</w:t>
      </w:r>
    </w:p>
    <w:p>
      <w:r>
        <w:rPr>
          <w:b/>
        </w:rPr>
        <w:t>E. 2</w:t>
      </w:r>
    </w:p>
    <w:p>
      <w:r>
        <w:t>L'appel peut être formé pour violation du droit ou pour constatation inexacte des faits (art. 310 CPC). L'autorité d'appel peut</w:t>
      </w:r>
    </w:p>
    <w:p>
      <w:r>
        <w:t>- 7 -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3</w:t>
      </w:r>
    </w:p>
    <w:p>
      <w:r>
        <w:t>L'appelant requiert la levée de l'obligation de présence d'un tiers lors de l'exercice de son droit de visite et son extension durant les week-ends et les vacances scolaires. a)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(CACI 24 février 2011/6 c. 3; Kobel, Kommentar zur Schweizerischen Zivilprozessordnung, Sutter-Somm/Hasenböhler/Leuenberger Hrsg, 2010, nn. 34 et 35 ad art. 276 CPC, p. 1612).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4ème éd., 1998, n° 19.20, p. 116). Le maintien et le développement de ce lien sont évidemment bénéfiques pour l'enfant. Les</w:t>
      </w:r>
    </w:p>
    <w:p>
      <w:r>
        <w:t>- 8 -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Le juge devra tenir compte de l’intérêt de l’enfant, de son âge, de sa santé physique et psychique, et de la relation que celui-ci entretient avec l’ayant droit. La mise en danger concrète du bien de l’enfant est nécessaire non seulement pour justifier un refus ou un retrait du droit aux relations personnelles, mais aussi pour lui imposer de se soumettre à des modalités particulières, notamment par rapport aux vacances (ATF 122 III 404, JT 1998 I 46; Meier/Stettler, Droit de la filiation, 4ème éd., 2009, n. 700, p. 407, et n. 714 ss, pp. 417 ss).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Toutefois, la limitation du droit de visite doit être prévue avec une certaine retenue dès lors que cette mesure de surveillance, généralement ordonnée contre la volonté du parent ayant droit, risque de générer chez lui une certaine amertume qui compromet le bon déroulement du droit de visite (ATF 122 III 404 c. 3c, JT 1998 I 46). 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ne peut, pour autant, faire abstraction de cette volonté. Le Tribunal fédéral a jugé qu'il fallait prendre en considération les vœux exprimés par un enfant sur son attribution, au père ou à la mère, lorsqu'il s'agit d'une résolution</w:t>
      </w:r>
    </w:p>
    <w:p>
      <w:r>
        <w:t>- 9 - ferme et qu'elle est prise par un enfant dont l'âge et le développement – en règle générale à partir de l'âge de douze ans révolus – permettent d'en tenir compte. Ce principe vaut pour la réglementation du droit de visite (TF 5A_107/2007 précité, c. 3.2 et références citées). Certes, le Tribunal fédéral a constamment souligné que le rapport de l'enfant avec ses deux parents est essentiel et peut jouer un rôle décisif dans le processus de sa recherche d'identité.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à réitérées reprises pour refuser ce droit de visite. La fixation d'un droit de visite au mépris du refus de l'enfant contreviendrait sinon tant à la finalité du droit aux relations personnelles qu'au droit de la personnalité de l'enfant (TF 5A_107/2007 précité, c. 3.3). c/aa) L'appelant fait grief au premier juge d'avoir prorogé une situation qui lui aurait été imposée conventionnellement au mois de janvier 2011, afin qu'il puisse continuer à exercer son droit de visite, et de s'être fondé exclusivement sur des éléments de faits très anciens, sans prendre en compte l'évolution importante de la situation depuis le mois de janvier 2011. Toutefois, aucun élément au dossier n'indique que la convention passée lors de l'audience du 14 janvier 2011 ait été imposée à l'appelant, alors que celui-ci était assisté d'un avocat. A cela s'ajoute que ledit accord consacrait une reprise du droit de visite faisant suite à des difficultés rencontrées auparavant. D'ailleurs, le premier juge a tenu compte de l'amélioration de la situation intervenue depuis lors, notamment de l'exercice satisfaisant du droit de visite, mais l'a jugée trop récente et potentiellement trop fragile. Dans ce contexte, il a évoqué les épisodes douloureux auxquels l'enfant avait dû faire face par le passé chez l'appelant, le comportement impulsif de ce dernier à l'audience, de même que sa propension à mêler, même inconsciemment, l'enfant au conflit conjugal, ainsi que l'attestait l'épisode du certificat médical qui était parvenu entre les mains de celui-ci, ce qui pouvait s'avérer angoissant. Le</w:t>
      </w:r>
    </w:p>
    <w:p>
      <w:r>
        <w:t>- 10 - premier juge a en outre constaté que le conflit de loyauté chez l'enfant était patent et qu'une solution ne résultant pas de l'accord des deux parties serait également de nature à l'angoisser. Cette appréciation prend en compte les critères posés par la jurisprudence et peut être confirmée, étant précisé que si les attitudes de l'appelant qui ont amené l'introduction de l'obligation de présence d'un tiers lors de l'exercice du droit de visite les week-ends ont pris fin après la mise en œuvre de la convention du 14 janvier 2011, elles continuaient d'inquiéter l'enfant à la date de son audition au mois du juillet 2011, étant relevé que ses capacités intellectuelles le rendent particulièrement sensible et sujet à des peurs internes résultant d'événements du passé. A cet égard, l'attestation du psychiatre traitant de l'appelant du 28 juin 2011 n'est pas déterminante dès lors que l'examen de ce médecin n'a pas porté sur l'enfant. L'appel doit être rejeté sur ce point. bb) L'appelant fait grief au premier juge d'avoir donné trop de poids à l'avis de l'enfant. Il fait valoir qu'il n'y a aucun élément concret de mise en danger de l'enfant dans le cadre d'un exercice libre du droit de visite et que les déclarations de l'enfant doivent être appréciées avec retenue, vu la relation quasi-symbiotique qu'elle entretient avec sa mère. Le premier juge a pris en considération les vœux exprimés par l'enfant, dont l'âge et le développement permettait de tenir compte. Il s'est en outre attaché à démontrer que, compte tenu de la personnalité de l'enfant, surdouée et très sensible émotionnellement, elle pouvait éprouver des peurs diverses et souvent intenses provenant d'expériences vécues depuis sa naissance, et qu'il convenait de ne pas aggraver ces craintes par un changement ne résultant pas de l'accord des parties d'un régime ayant abouti à une évolution favorable de la situation. Cette appréciation, conforme à la jurisprudence susmentionnée, peut être confirmée. Il y a en outre lieu de relever que,</w:t>
      </w:r>
    </w:p>
    <w:p>
      <w:r>
        <w:t>- 11 - dès lors que le droit de visite avait été réglementé par convention ratifiée par le juge, il appartenait à l'appelant d'établir une modification sensible et durable de la situation pour obtenir une nouvelle appréciation de la mise en danger concrète de l'enfant. Or, le premier juge a considéré l'amélioration comme trop récente et fragile. Quant aux relations de l'enfant avec sa mère, l'appelant procède par de simples affirmations pour prétendre que celui-ci serait sous l'emprise de sa mère au point de ne pas être apte à défendre son propre point de vue. Rien de tel ne transparaît du procès-verbal d'audition du premier juge, même si l'enfant a dû prendre quelques notes ou des mails pour se souvenir de ce qui s'était passé chez l'appelant. L'appel doit être rejeté sur ce point. cc) L'appelant fait valoir le fort attachement avec l'enfant et soutient qu'il devrait pouvoir s'épanouir en toute liberté. Toutefois, cet élément n'a pas été méconnu par le premier juge, qui souligne que la limitation du droit de visite reste légère puisqu'elle est circonscrite aux nuits et qu'elle n'empêche nullement les contacts fréquents entre l'appelant et l'enfant, notamment dans la semaine pour partager les repas. dd) L'appelant fait grief au premier juge de s'être déchargé de sa responsabilité de statuer en attendant le résultat de l'expertise à intervenir. Il résulte toutefois que les parties sont convenues lors de l'audience du 14 janvier 2011 de mettre en place une thérapie de famille. Cette thérapie n'avait pas été entreprise au moment de l'audience du 30 juin 2011, en raison de l'absence de prise en charge par les assurances. A l'audience du 30 juin 2011, les parties ont donné leur accord à l'établissement par la Dresse V.________ d'une évaluation portant notamment sur les liens entre chaque parent et l'enfant, ainsi que sur la question ici litigieuse de la présence d'un tiers la nuit, lors de l'exercice du</w:t>
      </w:r>
    </w:p>
    <w:p>
      <w:r>
        <w:t>- 12 - droit de visite le week-end. Le mandat d'évaluation ordonné par le premier juge a donc obtenu l'accord de l'appelant. En outre le premier juge a examiné les éléments qui ressortaient du dossier à sa disposition et a considéré sur la base de ceux- ci qu'une modification du droit de visite ne se justifiait pas en l'état, relevant toutefois que le maintien des restrictions à ce droit ne pouvaient être maintenues à long terme, ce d'autant que les démarches médicales étaient approuvées par les parties et que l'expertise était sur le point d'être mise en œuvre. Il a donc bel et bien statué sur les conclusions du requérant et ne s'est pas défaussé sur un avis médical à intervenir, mais a annoncé une réévaluation de la situation après réalisation du mandat d'évaluation. L'appel doit être rejeté sur ce point.</w:t>
      </w:r>
    </w:p>
    <w:p>
      <w:r>
        <w:rPr>
          <w:b/>
        </w:rPr>
        <w:t>E. 4</w:t>
      </w:r>
    </w:p>
    <w:p>
      <w:r>
        <w:t>En conclusion, l'appel doit être rejeté en application de l'art. 312 al. 1 CPC et l'ordonnance confirmée. Les frais judiciaires de deuxième instance, fixés à 600 fr. (art. 65 al. 2 TFJC [tarif du 28 septembre 2010; RSV 270.11.5), sont mis à la charge de l'appelant vu le rejet de l'appel (art. 106 al. 1 CPC)</w:t>
      </w:r>
    </w:p>
    <w:p>
      <w:r>
        <w:t>- 13 -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A.O.________. IV. L'arrêt motivé est exécutoire. Le juge délégué : Le greffier : Du 14 octobre 2011 Le dispositif de l'arrêt qui précède est communiqué par écrit aux intéressés. Le greffier :</w:t>
      </w:r>
    </w:p>
    <w:p>
      <w:r>
        <w:t>- 14 - Du L'arrêt qui précède, dont la rédaction a été approuvée à huis clos, est notifié en expédition complète, par l'envoi de photocopies, à : - Me Alain Dubuis (pour A.O.________), - Me Catherine Jaccottet Tissot (pour B.O.________).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