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TU10.036221 vom 30. August 2013</w:t>
      </w:r>
    </w:p>
    <w:p>
      <w:r>
        <w:t>VD Tribunal cantonal, 2013-08-30, FR</w:t>
      </w:r>
    </w:p>
    <w:p>
      <w:r>
        <w:rPr>
          <w:b/>
        </w:rPr>
        <w:t xml:space="preserve">Quelle: </w:t>
      </w:r>
      <w:r>
        <w:t>https://mcp.opencaselaw.ch/entscheid/vd_gerichte_TU10.036221</w:t>
      </w:r>
    </w:p>
    <w:p>
      <w:r>
        <w:t>FR: VD_GERICHTE TU10.036221 du 30 août 2013</w:t>
      </w:r>
    </w:p>
    <w:p>
      <w:r>
        <w:t>IT: VD_GERICHTE TU10.036221 del 30 agosto 2013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2010; RS 270.11.5]), seront laissés à la charge de l'Etat. Vu le sort de l'appel, T.________ doit verser à l’appelante une indemnité réduite de 2'000 fr., à titre de dépens. Le conseil commis d'office a droit au remboursement de ses débours et à un défraiement équitable (art. 122 al. 1 let. a CPC; art. 2 al. 1 RAJ [règlement sur l'assistance judiciaire du 7 décembre 2010; RSV 211.02.3]). Le tarif horaire applicable est de 180 francs (art. 2 al. 1 let. a</w:t>
      </w:r>
    </w:p>
    <w:p>
      <w:r>
        <w:t>- 14 - RAJ). En l'absence de liste de débours, le conseil juridique commis d'office reçoit une indemnité forfaitaire de 100 francs (art. 3 al. 3 RAJ). En l'espèce, compte tenu des difficultés et de la nature du litige, il y a lieu de retenir que les conseils d’office ont consacré 7 heures à l’exercice de leur mandat après l’arrêt de renvoi du Tribunal fédéral. Partant, une indemnité pour la procédure d'appel, y compris la phase postérieure à l'arrêt du Tribunal fédéral, est allouée par 4'244 fr. 40, TVA et débours compris, à Me Emmanuel Hoffmann, et par 3'837 fr. 20, TVA et débours inclus, à Me Bernadette Schindler Velasco. L.________ et T.________ sont, dans la mesure de l'art. 123 CPC, tenus au remboursement des frais judiciaires et de l'indemnité au conseil d'office mis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